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5F" w:rsidRPr="001B7DC2" w:rsidRDefault="00BC735F" w:rsidP="001B7DC2">
      <w:pPr>
        <w:jc w:val="right"/>
        <w:rPr>
          <w:rFonts w:cs="Arial"/>
          <w:b/>
        </w:rPr>
      </w:pPr>
      <w:r w:rsidRPr="001B7DC2">
        <w:rPr>
          <w:rFonts w:cs="Arial"/>
          <w:b/>
        </w:rPr>
        <w:t>Appendix A</w:t>
      </w:r>
    </w:p>
    <w:p w:rsidR="00EC57A0" w:rsidRPr="001B7DC2" w:rsidRDefault="00EC57A0" w:rsidP="001B7DC2">
      <w:pPr>
        <w:pBdr>
          <w:bottom w:val="single" w:sz="12" w:space="1" w:color="auto"/>
        </w:pBdr>
        <w:rPr>
          <w:rFonts w:cs="Arial"/>
          <w:b/>
        </w:rPr>
      </w:pPr>
      <w:r w:rsidRPr="001B7DC2">
        <w:rPr>
          <w:rFonts w:cs="Arial"/>
          <w:b/>
        </w:rPr>
        <w:t>PROPERTY</w:t>
      </w:r>
      <w:r w:rsidR="003B2671" w:rsidRPr="001B7DC2">
        <w:rPr>
          <w:rFonts w:cs="Arial"/>
          <w:b/>
        </w:rPr>
        <w:t xml:space="preserve"> </w:t>
      </w:r>
      <w:r w:rsidR="002048F5" w:rsidRPr="001B7DC2">
        <w:rPr>
          <w:rFonts w:cs="Arial"/>
          <w:b/>
        </w:rPr>
        <w:t xml:space="preserve">INVESTMENT </w:t>
      </w:r>
      <w:r w:rsidR="00BC735F" w:rsidRPr="001B7DC2">
        <w:rPr>
          <w:rFonts w:cs="Arial"/>
          <w:b/>
        </w:rPr>
        <w:t xml:space="preserve">STRATEGY </w:t>
      </w:r>
    </w:p>
    <w:p w:rsidR="00BC735F" w:rsidRPr="001B7DC2" w:rsidRDefault="00BC735F" w:rsidP="001B7DC2">
      <w:pPr>
        <w:rPr>
          <w:rFonts w:cs="Arial"/>
          <w:b/>
        </w:rPr>
      </w:pPr>
    </w:p>
    <w:p w:rsidR="00FF23F9" w:rsidRPr="001B7DC2" w:rsidRDefault="00FF23F9" w:rsidP="001B7DC2">
      <w:pPr>
        <w:pStyle w:val="ListParagraph"/>
        <w:numPr>
          <w:ilvl w:val="0"/>
          <w:numId w:val="2"/>
        </w:numPr>
        <w:rPr>
          <w:rFonts w:cs="Arial"/>
          <w:b/>
        </w:rPr>
      </w:pPr>
      <w:r w:rsidRPr="001B7DC2">
        <w:rPr>
          <w:rFonts w:cs="Arial"/>
          <w:b/>
        </w:rPr>
        <w:t>Introduction</w:t>
      </w:r>
    </w:p>
    <w:p w:rsidR="00FF23F9" w:rsidRPr="001B7DC2" w:rsidRDefault="00F3220F" w:rsidP="001B7DC2">
      <w:pPr>
        <w:ind w:left="720" w:hanging="720"/>
        <w:rPr>
          <w:rFonts w:cs="Arial"/>
        </w:rPr>
      </w:pPr>
      <w:r w:rsidRPr="001B7DC2">
        <w:rPr>
          <w:rFonts w:cs="Arial"/>
        </w:rPr>
        <w:t>1.1</w:t>
      </w:r>
      <w:r w:rsidRPr="001B7DC2">
        <w:rPr>
          <w:rFonts w:cs="Arial"/>
        </w:rPr>
        <w:tab/>
      </w:r>
      <w:r w:rsidR="00FF23F9" w:rsidRPr="001B7DC2">
        <w:rPr>
          <w:rFonts w:cs="Arial"/>
        </w:rPr>
        <w:t>This report presents an investment strategy for the main property portfolio of the Fund</w:t>
      </w:r>
      <w:r w:rsidR="003E5605" w:rsidRPr="001B7DC2">
        <w:rPr>
          <w:rFonts w:cs="Arial"/>
        </w:rPr>
        <w:t xml:space="preserve"> discussing the broad categories of investment </w:t>
      </w:r>
      <w:r w:rsidR="000C2636" w:rsidRPr="001B7DC2">
        <w:rPr>
          <w:rFonts w:cs="Arial"/>
        </w:rPr>
        <w:t xml:space="preserve">to be </w:t>
      </w:r>
      <w:r w:rsidR="003E5605" w:rsidRPr="001B7DC2">
        <w:rPr>
          <w:rFonts w:cs="Arial"/>
        </w:rPr>
        <w:t>targeted by the Fund</w:t>
      </w:r>
      <w:r w:rsidR="00044F08" w:rsidRPr="001B7DC2">
        <w:rPr>
          <w:rFonts w:cs="Arial"/>
        </w:rPr>
        <w:t xml:space="preserve">.  </w:t>
      </w:r>
    </w:p>
    <w:p w:rsidR="009E3C93" w:rsidRPr="001B7DC2" w:rsidRDefault="00F3220F" w:rsidP="001B7DC2">
      <w:pPr>
        <w:ind w:left="720" w:hanging="720"/>
        <w:rPr>
          <w:rFonts w:eastAsiaTheme="minorHAnsi" w:cs="Arial"/>
          <w:bCs/>
          <w:iCs/>
          <w:color w:val="auto"/>
        </w:rPr>
      </w:pPr>
      <w:r w:rsidRPr="001B7DC2">
        <w:rPr>
          <w:rFonts w:eastAsiaTheme="minorHAnsi" w:cs="Arial"/>
          <w:bCs/>
          <w:iCs/>
          <w:color w:val="auto"/>
        </w:rPr>
        <w:t>1.2</w:t>
      </w:r>
      <w:r w:rsidRPr="001B7DC2">
        <w:rPr>
          <w:rFonts w:eastAsiaTheme="minorHAnsi" w:cs="Arial"/>
          <w:bCs/>
          <w:iCs/>
          <w:color w:val="auto"/>
        </w:rPr>
        <w:tab/>
      </w:r>
      <w:r w:rsidR="00DA0DA8" w:rsidRPr="001B7DC2">
        <w:rPr>
          <w:rFonts w:eastAsiaTheme="minorHAnsi" w:cs="Arial"/>
          <w:bCs/>
          <w:iCs/>
          <w:color w:val="auto"/>
        </w:rPr>
        <w:t>Th</w:t>
      </w:r>
      <w:r w:rsidR="00F71547" w:rsidRPr="001B7DC2">
        <w:rPr>
          <w:rFonts w:eastAsiaTheme="minorHAnsi" w:cs="Arial"/>
          <w:bCs/>
          <w:iCs/>
          <w:color w:val="auto"/>
        </w:rPr>
        <w:t>is</w:t>
      </w:r>
      <w:r w:rsidR="00DA0DA8" w:rsidRPr="001B7DC2">
        <w:rPr>
          <w:rFonts w:eastAsiaTheme="minorHAnsi" w:cs="Arial"/>
          <w:bCs/>
          <w:iCs/>
          <w:color w:val="auto"/>
        </w:rPr>
        <w:t xml:space="preserve"> property investment strategy is built on the Fund’</w:t>
      </w:r>
      <w:r w:rsidR="009E3C93" w:rsidRPr="001B7DC2">
        <w:rPr>
          <w:rFonts w:eastAsiaTheme="minorHAnsi" w:cs="Arial"/>
          <w:bCs/>
          <w:iCs/>
          <w:color w:val="auto"/>
        </w:rPr>
        <w:t>s overall investment policy for property:</w:t>
      </w:r>
    </w:p>
    <w:p w:rsidR="00DA0DA8" w:rsidRPr="001B7DC2" w:rsidRDefault="00DA0DA8" w:rsidP="001B7DC2">
      <w:pPr>
        <w:ind w:left="720" w:hanging="720"/>
        <w:rPr>
          <w:rFonts w:eastAsiaTheme="minorHAnsi" w:cs="Arial"/>
          <w:bCs/>
          <w:iCs/>
          <w:color w:val="auto"/>
        </w:rPr>
      </w:pPr>
      <w:r w:rsidRPr="001B7DC2">
        <w:rPr>
          <w:rFonts w:eastAsiaTheme="minorHAnsi" w:cs="Arial"/>
          <w:bCs/>
          <w:iCs/>
          <w:color w:val="auto"/>
        </w:rPr>
        <w:t xml:space="preserve"> </w:t>
      </w:r>
      <w:r w:rsidR="00BC735F" w:rsidRPr="001B7DC2">
        <w:rPr>
          <w:rFonts w:eastAsiaTheme="minorHAnsi" w:cs="Arial"/>
          <w:bCs/>
          <w:iCs/>
          <w:color w:val="auto"/>
        </w:rPr>
        <w:t xml:space="preserve">          </w:t>
      </w:r>
      <w:r w:rsidRPr="001B7DC2">
        <w:rPr>
          <w:rFonts w:eastAsiaTheme="minorHAnsi" w:cs="Arial"/>
          <w:bCs/>
          <w:i/>
          <w:iCs/>
          <w:color w:val="auto"/>
        </w:rPr>
        <w:t xml:space="preserve">"Property is a good diversifying asset. However, by restricting itself to UK property the Fund limits its ability to access the benefits of growth in the world economy. While UK property investment is likely to continue to be direct it is likely that it will be easier to gain the relevant exposure to appropriate overseas property through buying unitised products." </w:t>
      </w:r>
      <w:r w:rsidRPr="001B7DC2">
        <w:rPr>
          <w:rFonts w:eastAsiaTheme="minorHAnsi" w:cs="Arial"/>
          <w:bCs/>
          <w:iCs/>
          <w:color w:val="auto"/>
        </w:rPr>
        <w:t>(Investment Allocation Strategy approved by Pension Committee Dec 2010).</w:t>
      </w:r>
    </w:p>
    <w:p w:rsidR="007931E7" w:rsidRPr="001B7DC2" w:rsidRDefault="00F3220F" w:rsidP="001B7DC2">
      <w:pPr>
        <w:ind w:left="720" w:hanging="720"/>
        <w:rPr>
          <w:rFonts w:cs="Arial"/>
        </w:rPr>
      </w:pPr>
      <w:r w:rsidRPr="001B7DC2">
        <w:rPr>
          <w:rFonts w:cs="Arial"/>
        </w:rPr>
        <w:t>1.3</w:t>
      </w:r>
      <w:r w:rsidRPr="001B7DC2">
        <w:rPr>
          <w:rFonts w:cs="Arial"/>
        </w:rPr>
        <w:tab/>
      </w:r>
      <w:r w:rsidR="007931E7" w:rsidRPr="001B7DC2">
        <w:rPr>
          <w:rFonts w:cs="Arial"/>
        </w:rPr>
        <w:t xml:space="preserve">At its simplest property is an investment in a piece of land or a building giving the investor a return as rental income and/or capital value growth.  Capital growth may come through time holding the asset and/or be driven by asset management initiatives and development.  </w:t>
      </w:r>
    </w:p>
    <w:p w:rsidR="00DA0DA8" w:rsidRPr="001B7DC2" w:rsidRDefault="00F3220F" w:rsidP="001B7DC2">
      <w:pPr>
        <w:ind w:left="720" w:hanging="720"/>
        <w:rPr>
          <w:rFonts w:cs="Arial"/>
        </w:rPr>
      </w:pPr>
      <w:r w:rsidRPr="001B7DC2">
        <w:rPr>
          <w:rFonts w:cs="Arial"/>
        </w:rPr>
        <w:t>1.4</w:t>
      </w:r>
      <w:r w:rsidRPr="001B7DC2">
        <w:rPr>
          <w:rFonts w:cs="Arial"/>
        </w:rPr>
        <w:tab/>
      </w:r>
      <w:r w:rsidR="007931E7" w:rsidRPr="001B7DC2">
        <w:rPr>
          <w:rFonts w:cs="Arial"/>
        </w:rPr>
        <w:t xml:space="preserve">Property </w:t>
      </w:r>
      <w:r w:rsidR="007D0819" w:rsidRPr="001B7DC2">
        <w:rPr>
          <w:rFonts w:cs="Arial"/>
        </w:rPr>
        <w:t xml:space="preserve">investment </w:t>
      </w:r>
      <w:r w:rsidR="007931E7" w:rsidRPr="001B7DC2">
        <w:rPr>
          <w:rFonts w:cs="Arial"/>
        </w:rPr>
        <w:t xml:space="preserve">returns are </w:t>
      </w:r>
      <w:r w:rsidR="007D0819" w:rsidRPr="001B7DC2">
        <w:rPr>
          <w:rFonts w:cs="Arial"/>
        </w:rPr>
        <w:t xml:space="preserve">attractive to pension funds in that they provide </w:t>
      </w:r>
      <w:r w:rsidR="007931E7" w:rsidRPr="001B7DC2">
        <w:rPr>
          <w:rFonts w:cs="Arial"/>
        </w:rPr>
        <w:t xml:space="preserve">a combination of a bond-like rental income return </w:t>
      </w:r>
      <w:r w:rsidR="007D0819" w:rsidRPr="001B7DC2">
        <w:rPr>
          <w:rFonts w:cs="Arial"/>
        </w:rPr>
        <w:t xml:space="preserve">(modest risk-return) </w:t>
      </w:r>
      <w:r w:rsidR="007931E7" w:rsidRPr="001B7DC2">
        <w:rPr>
          <w:rFonts w:cs="Arial"/>
        </w:rPr>
        <w:t>and an equity-like capital growth component</w:t>
      </w:r>
      <w:r w:rsidR="007D0819" w:rsidRPr="001B7DC2">
        <w:rPr>
          <w:rFonts w:cs="Arial"/>
        </w:rPr>
        <w:t xml:space="preserve"> (higher risk-return)</w:t>
      </w:r>
      <w:r w:rsidR="007931E7" w:rsidRPr="001B7DC2">
        <w:rPr>
          <w:rFonts w:cs="Arial"/>
        </w:rPr>
        <w:t xml:space="preserve">.  The IPD UK Monthly Index over 20+ years has recorded an overall return of 9.3% per </w:t>
      </w:r>
      <w:r w:rsidR="004E77FF" w:rsidRPr="001B7DC2">
        <w:rPr>
          <w:rFonts w:cs="Arial"/>
        </w:rPr>
        <w:t>annum</w:t>
      </w:r>
      <w:r w:rsidR="007931E7" w:rsidRPr="001B7DC2">
        <w:rPr>
          <w:rFonts w:cs="Arial"/>
        </w:rPr>
        <w:t xml:space="preserve">, of which 7.2% is income return and 2.1% capital return.  The rental income component of the return has typically been stable while the capital growth element has proved to be volatile. </w:t>
      </w:r>
    </w:p>
    <w:p w:rsidR="00F71547" w:rsidRPr="001B7DC2" w:rsidRDefault="00F3220F" w:rsidP="001B7DC2">
      <w:pPr>
        <w:ind w:left="720" w:hanging="720"/>
        <w:rPr>
          <w:rFonts w:cs="Arial"/>
        </w:rPr>
      </w:pPr>
      <w:r w:rsidRPr="001B7DC2">
        <w:rPr>
          <w:rFonts w:cs="Arial"/>
        </w:rPr>
        <w:t>1.5</w:t>
      </w:r>
      <w:r w:rsidRPr="001B7DC2">
        <w:rPr>
          <w:rFonts w:cs="Arial"/>
        </w:rPr>
        <w:tab/>
      </w:r>
      <w:r w:rsidR="00F71547" w:rsidRPr="001B7DC2">
        <w:rPr>
          <w:rFonts w:cs="Arial"/>
        </w:rPr>
        <w:t>Risks and returns in property investment come both at a market level and from individual asset choice.  The choice of country and region and the choice of prop</w:t>
      </w:r>
      <w:r w:rsidR="003A14EB" w:rsidRPr="001B7DC2">
        <w:rPr>
          <w:rFonts w:cs="Arial"/>
        </w:rPr>
        <w:t xml:space="preserve">erty sector influence the risks and returns being run.  High growth economies offer the potential of property values increasing in line with higher rates of growth in GDP, but they may also represent higher risk with anticipated future growth already factored in prices being paid.  At an individual asset level, </w:t>
      </w:r>
      <w:r w:rsidR="002B769C" w:rsidRPr="001B7DC2">
        <w:rPr>
          <w:rFonts w:cs="Arial"/>
        </w:rPr>
        <w:t>there are asset specific risks and opportunities.  T</w:t>
      </w:r>
      <w:r w:rsidR="003A14EB" w:rsidRPr="001B7DC2">
        <w:rPr>
          <w:rFonts w:cs="Arial"/>
        </w:rPr>
        <w:t xml:space="preserve">he property manager has the opportunity to add value through initiatives to improve buildings </w:t>
      </w:r>
      <w:r w:rsidR="002B769C" w:rsidRPr="001B7DC2">
        <w:rPr>
          <w:rFonts w:cs="Arial"/>
        </w:rPr>
        <w:t>and manage the tenant roster.  Asset specific events, such as the loss of an important tenant, illustrate the risks at an asset level.</w:t>
      </w:r>
    </w:p>
    <w:p w:rsidR="003B2671" w:rsidRPr="001B7DC2" w:rsidRDefault="00C9428C" w:rsidP="001B7DC2">
      <w:pPr>
        <w:pStyle w:val="ListParagraph"/>
        <w:numPr>
          <w:ilvl w:val="0"/>
          <w:numId w:val="2"/>
        </w:numPr>
        <w:rPr>
          <w:rFonts w:cs="Arial"/>
        </w:rPr>
      </w:pPr>
      <w:r w:rsidRPr="001B7DC2">
        <w:rPr>
          <w:rFonts w:cs="Arial"/>
          <w:b/>
        </w:rPr>
        <w:t xml:space="preserve">The Fund's </w:t>
      </w:r>
      <w:r w:rsidR="003E5605" w:rsidRPr="001B7DC2">
        <w:rPr>
          <w:rFonts w:cs="Arial"/>
          <w:b/>
        </w:rPr>
        <w:t xml:space="preserve">Property </w:t>
      </w:r>
      <w:r w:rsidRPr="001B7DC2">
        <w:rPr>
          <w:rFonts w:cs="Arial"/>
          <w:b/>
        </w:rPr>
        <w:t>Investment Strategy</w:t>
      </w:r>
      <w:r w:rsidR="003E5605" w:rsidRPr="001B7DC2">
        <w:rPr>
          <w:rFonts w:cs="Arial"/>
          <w:b/>
        </w:rPr>
        <w:t xml:space="preserve"> by category</w:t>
      </w:r>
    </w:p>
    <w:p w:rsidR="00F25763" w:rsidRPr="001B7DC2" w:rsidRDefault="00F3220F" w:rsidP="001B7DC2">
      <w:pPr>
        <w:ind w:left="720" w:hanging="720"/>
        <w:rPr>
          <w:rFonts w:cs="Arial"/>
        </w:rPr>
      </w:pPr>
      <w:r w:rsidRPr="001B7DC2">
        <w:rPr>
          <w:rFonts w:cs="Arial"/>
        </w:rPr>
        <w:t>2.1</w:t>
      </w:r>
      <w:r w:rsidRPr="001B7DC2">
        <w:rPr>
          <w:rFonts w:cs="Arial"/>
        </w:rPr>
        <w:tab/>
      </w:r>
      <w:r w:rsidR="00F25763" w:rsidRPr="001B7DC2">
        <w:rPr>
          <w:rFonts w:cs="Arial"/>
        </w:rPr>
        <w:t xml:space="preserve">The Fund's investment strategy envisages 10% to 20% of the value of the </w:t>
      </w:r>
      <w:r w:rsidR="00BD4C57" w:rsidRPr="001B7DC2">
        <w:rPr>
          <w:rFonts w:cs="Arial"/>
        </w:rPr>
        <w:t>F</w:t>
      </w:r>
      <w:r w:rsidR="00F25763" w:rsidRPr="001B7DC2">
        <w:rPr>
          <w:rFonts w:cs="Arial"/>
        </w:rPr>
        <w:t xml:space="preserve">und being invested in </w:t>
      </w:r>
      <w:r w:rsidR="009E3C93" w:rsidRPr="001B7DC2">
        <w:rPr>
          <w:rFonts w:cs="Arial"/>
        </w:rPr>
        <w:t>d</w:t>
      </w:r>
      <w:r w:rsidR="00F25763" w:rsidRPr="001B7DC2">
        <w:rPr>
          <w:rFonts w:cs="Arial"/>
        </w:rPr>
        <w:t xml:space="preserve">iversified </w:t>
      </w:r>
      <w:r w:rsidR="009E3C93" w:rsidRPr="001B7DC2">
        <w:rPr>
          <w:rFonts w:cs="Arial"/>
        </w:rPr>
        <w:t>p</w:t>
      </w:r>
      <w:r w:rsidR="00F25763" w:rsidRPr="001B7DC2">
        <w:rPr>
          <w:rFonts w:cs="Arial"/>
        </w:rPr>
        <w:t>roperty, being UK and overseas, and using both direct and indirect routes.</w:t>
      </w:r>
    </w:p>
    <w:p w:rsidR="0044450C" w:rsidRPr="001B7DC2" w:rsidRDefault="00F3220F" w:rsidP="001B7DC2">
      <w:pPr>
        <w:ind w:left="720" w:hanging="720"/>
        <w:jc w:val="both"/>
        <w:rPr>
          <w:rFonts w:cs="Arial"/>
        </w:rPr>
      </w:pPr>
      <w:r w:rsidRPr="001B7DC2">
        <w:rPr>
          <w:rFonts w:cs="Arial"/>
        </w:rPr>
        <w:lastRenderedPageBreak/>
        <w:t>2.2</w:t>
      </w:r>
      <w:r w:rsidRPr="001B7DC2">
        <w:rPr>
          <w:rFonts w:cs="Arial"/>
        </w:rPr>
        <w:tab/>
      </w:r>
      <w:r w:rsidR="0044450C" w:rsidRPr="001B7DC2">
        <w:rPr>
          <w:rFonts w:cs="Arial"/>
        </w:rPr>
        <w:t xml:space="preserve">This paper does not propose what </w:t>
      </w:r>
      <w:r w:rsidR="000C2636" w:rsidRPr="001B7DC2">
        <w:rPr>
          <w:rFonts w:cs="Arial"/>
        </w:rPr>
        <w:t xml:space="preserve">overall </w:t>
      </w:r>
      <w:r w:rsidR="0044450C" w:rsidRPr="001B7DC2">
        <w:rPr>
          <w:rFonts w:cs="Arial"/>
        </w:rPr>
        <w:t>property allocation should be put in place.  Th</w:t>
      </w:r>
      <w:r w:rsidR="007931E7" w:rsidRPr="001B7DC2">
        <w:rPr>
          <w:rFonts w:cs="Arial"/>
        </w:rPr>
        <w:t>is</w:t>
      </w:r>
      <w:r w:rsidR="0044450C" w:rsidRPr="001B7DC2">
        <w:rPr>
          <w:rFonts w:cs="Arial"/>
        </w:rPr>
        <w:t xml:space="preserve"> is a role for the Investment Panel after reviewing the risk and return profiles of all investment classes.  </w:t>
      </w:r>
    </w:p>
    <w:p w:rsidR="0044450C" w:rsidRPr="001B7DC2" w:rsidRDefault="0044450C" w:rsidP="001B7DC2">
      <w:pPr>
        <w:ind w:left="720"/>
        <w:jc w:val="both"/>
        <w:rPr>
          <w:rFonts w:cs="Arial"/>
        </w:rPr>
      </w:pPr>
      <w:r w:rsidRPr="001B7DC2">
        <w:rPr>
          <w:rFonts w:cs="Arial"/>
        </w:rPr>
        <w:t>But the following considerations are relevant:</w:t>
      </w:r>
    </w:p>
    <w:p w:rsidR="0044450C" w:rsidRPr="001B7DC2" w:rsidRDefault="0044450C" w:rsidP="001B7DC2">
      <w:pPr>
        <w:pStyle w:val="ListParagraph"/>
        <w:numPr>
          <w:ilvl w:val="0"/>
          <w:numId w:val="5"/>
        </w:numPr>
        <w:jc w:val="both"/>
        <w:rPr>
          <w:rFonts w:cs="Arial"/>
        </w:rPr>
      </w:pPr>
      <w:r w:rsidRPr="001B7DC2">
        <w:rPr>
          <w:rFonts w:cs="Arial"/>
        </w:rPr>
        <w:t>With bond coupons historically very low, the property rental return of over 5%</w:t>
      </w:r>
      <w:r w:rsidR="00F23480" w:rsidRPr="001B7DC2">
        <w:rPr>
          <w:rFonts w:cs="Arial"/>
        </w:rPr>
        <w:t xml:space="preserve"> per </w:t>
      </w:r>
      <w:r w:rsidR="004E77FF" w:rsidRPr="001B7DC2">
        <w:rPr>
          <w:rFonts w:cs="Arial"/>
        </w:rPr>
        <w:t>annum</w:t>
      </w:r>
      <w:r w:rsidR="00F23480" w:rsidRPr="001B7DC2">
        <w:rPr>
          <w:rFonts w:cs="Arial"/>
        </w:rPr>
        <w:t xml:space="preserve"> </w:t>
      </w:r>
      <w:r w:rsidRPr="001B7DC2">
        <w:rPr>
          <w:rFonts w:cs="Arial"/>
        </w:rPr>
        <w:t>is an attractive return, especially if based on lease</w:t>
      </w:r>
      <w:r w:rsidR="00DB5E23" w:rsidRPr="001B7DC2">
        <w:rPr>
          <w:rFonts w:cs="Arial"/>
        </w:rPr>
        <w:t>s</w:t>
      </w:r>
      <w:r w:rsidRPr="001B7DC2">
        <w:rPr>
          <w:rFonts w:cs="Arial"/>
        </w:rPr>
        <w:t xml:space="preserve"> with </w:t>
      </w:r>
      <w:r w:rsidR="005E0E09" w:rsidRPr="001B7DC2">
        <w:rPr>
          <w:rFonts w:cs="Arial"/>
        </w:rPr>
        <w:t>some</w:t>
      </w:r>
      <w:r w:rsidRPr="001B7DC2">
        <w:rPr>
          <w:rFonts w:cs="Arial"/>
        </w:rPr>
        <w:t xml:space="preserve"> inflation linkage.</w:t>
      </w:r>
    </w:p>
    <w:p w:rsidR="0044450C" w:rsidRPr="001B7DC2" w:rsidRDefault="0044450C" w:rsidP="001B7DC2">
      <w:pPr>
        <w:pStyle w:val="ListParagraph"/>
        <w:numPr>
          <w:ilvl w:val="0"/>
          <w:numId w:val="5"/>
        </w:numPr>
        <w:jc w:val="both"/>
        <w:rPr>
          <w:rFonts w:cs="Arial"/>
        </w:rPr>
      </w:pPr>
      <w:r w:rsidRPr="001B7DC2">
        <w:rPr>
          <w:rFonts w:cs="Arial"/>
        </w:rPr>
        <w:t>Having gone through the boom and bust of 2005 to 2009, property values now appear to have stabilised and returned to their long-term trend values.</w:t>
      </w:r>
    </w:p>
    <w:p w:rsidR="0044450C" w:rsidRPr="001B7DC2" w:rsidRDefault="00DB5E23" w:rsidP="001B7DC2">
      <w:pPr>
        <w:ind w:left="720"/>
        <w:jc w:val="both"/>
        <w:rPr>
          <w:rFonts w:cs="Arial"/>
        </w:rPr>
      </w:pPr>
      <w:r w:rsidRPr="001B7DC2">
        <w:rPr>
          <w:rFonts w:cs="Arial"/>
        </w:rPr>
        <w:t>With t</w:t>
      </w:r>
      <w:r w:rsidR="0044450C" w:rsidRPr="001B7DC2">
        <w:rPr>
          <w:rFonts w:cs="Arial"/>
        </w:rPr>
        <w:t xml:space="preserve">he current investment climate generally supportive of property investment, a mid-range allocation of 15% has been assumed for this paper. </w:t>
      </w:r>
    </w:p>
    <w:p w:rsidR="0044450C" w:rsidRPr="001B7DC2" w:rsidRDefault="005E0E09" w:rsidP="001B7DC2">
      <w:pPr>
        <w:rPr>
          <w:rFonts w:cs="Arial"/>
          <w:u w:val="single"/>
        </w:rPr>
      </w:pPr>
      <w:r w:rsidRPr="001B7DC2">
        <w:rPr>
          <w:rFonts w:cs="Arial"/>
          <w:u w:val="single"/>
        </w:rPr>
        <w:t>Return characteristics of property investments</w:t>
      </w:r>
    </w:p>
    <w:p w:rsidR="00936F2B" w:rsidRPr="001B7DC2" w:rsidRDefault="00F3220F" w:rsidP="001B7DC2">
      <w:pPr>
        <w:ind w:left="720" w:hanging="720"/>
        <w:rPr>
          <w:rFonts w:cs="Arial"/>
        </w:rPr>
      </w:pPr>
      <w:r w:rsidRPr="001B7DC2">
        <w:rPr>
          <w:rFonts w:cs="Arial"/>
        </w:rPr>
        <w:t>2.3</w:t>
      </w:r>
      <w:r w:rsidRPr="001B7DC2">
        <w:rPr>
          <w:rFonts w:cs="Arial"/>
        </w:rPr>
        <w:tab/>
      </w:r>
      <w:r w:rsidR="007931E7" w:rsidRPr="001B7DC2">
        <w:rPr>
          <w:rFonts w:cs="Arial"/>
        </w:rPr>
        <w:t>The two components of property investment returns</w:t>
      </w:r>
      <w:r w:rsidR="00231133" w:rsidRPr="001B7DC2">
        <w:rPr>
          <w:rFonts w:cs="Arial"/>
        </w:rPr>
        <w:t xml:space="preserve"> (</w:t>
      </w:r>
      <w:r w:rsidR="007931E7" w:rsidRPr="001B7DC2">
        <w:rPr>
          <w:rFonts w:cs="Arial"/>
        </w:rPr>
        <w:t>rental income and capital growth</w:t>
      </w:r>
      <w:r w:rsidR="00231133" w:rsidRPr="001B7DC2">
        <w:rPr>
          <w:rFonts w:cs="Arial"/>
        </w:rPr>
        <w:t>)</w:t>
      </w:r>
      <w:r w:rsidR="007931E7" w:rsidRPr="001B7DC2">
        <w:rPr>
          <w:rFonts w:cs="Arial"/>
        </w:rPr>
        <w:t xml:space="preserve"> are very different.</w:t>
      </w:r>
    </w:p>
    <w:p w:rsidR="00936F2B" w:rsidRPr="001B7DC2" w:rsidRDefault="00F3220F" w:rsidP="001B7DC2">
      <w:pPr>
        <w:ind w:left="720" w:hanging="720"/>
        <w:rPr>
          <w:rFonts w:cs="Arial"/>
        </w:rPr>
      </w:pPr>
      <w:r w:rsidRPr="001B7DC2">
        <w:rPr>
          <w:rFonts w:cs="Arial"/>
        </w:rPr>
        <w:t>2.4</w:t>
      </w:r>
      <w:r w:rsidRPr="001B7DC2">
        <w:rPr>
          <w:rFonts w:cs="Arial"/>
        </w:rPr>
        <w:tab/>
      </w:r>
      <w:r w:rsidR="00936F2B" w:rsidRPr="001B7DC2">
        <w:rPr>
          <w:rFonts w:cs="Arial"/>
        </w:rPr>
        <w:t xml:space="preserve">The bond-like rental income return is stable and reliable showing little volatility.  Over 25 years the </w:t>
      </w:r>
      <w:r w:rsidR="009E3C93" w:rsidRPr="001B7DC2">
        <w:rPr>
          <w:rFonts w:cs="Arial"/>
        </w:rPr>
        <w:t xml:space="preserve">rental component of the </w:t>
      </w:r>
      <w:r w:rsidR="00936F2B" w:rsidRPr="001B7DC2">
        <w:rPr>
          <w:rFonts w:cs="Arial"/>
        </w:rPr>
        <w:t>IPD UK monthly index it has never exceeded 10% p</w:t>
      </w:r>
      <w:r w:rsidR="00233F1E" w:rsidRPr="001B7DC2">
        <w:rPr>
          <w:rFonts w:cs="Arial"/>
        </w:rPr>
        <w:t>er year</w:t>
      </w:r>
      <w:r w:rsidR="00936F2B" w:rsidRPr="001B7DC2">
        <w:rPr>
          <w:rFonts w:cs="Arial"/>
        </w:rPr>
        <w:t xml:space="preserve"> nor dropped below 5% </w:t>
      </w:r>
      <w:r w:rsidR="00233F1E" w:rsidRPr="001B7DC2">
        <w:rPr>
          <w:rFonts w:cs="Arial"/>
        </w:rPr>
        <w:t>per year.</w:t>
      </w:r>
    </w:p>
    <w:p w:rsidR="004F39FA" w:rsidRPr="001B7DC2" w:rsidRDefault="00F3220F" w:rsidP="001B7DC2">
      <w:pPr>
        <w:ind w:left="720" w:hanging="720"/>
        <w:rPr>
          <w:rFonts w:cs="Arial"/>
        </w:rPr>
      </w:pPr>
      <w:r w:rsidRPr="001B7DC2">
        <w:rPr>
          <w:rFonts w:cs="Arial"/>
        </w:rPr>
        <w:t>2.5</w:t>
      </w:r>
      <w:r w:rsidRPr="001B7DC2">
        <w:rPr>
          <w:rFonts w:cs="Arial"/>
        </w:rPr>
        <w:tab/>
      </w:r>
      <w:r w:rsidR="004F39FA" w:rsidRPr="001B7DC2">
        <w:rPr>
          <w:rFonts w:cs="Arial"/>
        </w:rPr>
        <w:t>Rental income also has a linkage with inflation.  In some leases, this may be expressed contractually with rents increasing with inflation, albeit with caps and collars to the increases.  With others, the triennial rent reviews will tend to follow inflation, but this is not always the case.  In difficult economic times, rents tend to fall on re-letting.  It is also expensive to hold property empty.  For example, in the UK business rates are payable by the landlord on vacant properties.  This drives landlords of properties typically in secondary locations with little tenant demand, to let them at whatever price they can just to avoid business rates.  This fulfils the objective of releasing as much property as possible for occupation, but means that rental income and consequent capital values become much more volatile in secondary locations.</w:t>
      </w:r>
    </w:p>
    <w:p w:rsidR="00936F2B" w:rsidRPr="001B7DC2" w:rsidRDefault="00F3220F" w:rsidP="001B7DC2">
      <w:pPr>
        <w:ind w:left="720" w:hanging="720"/>
        <w:rPr>
          <w:rFonts w:cs="Arial"/>
        </w:rPr>
      </w:pPr>
      <w:r w:rsidRPr="001B7DC2">
        <w:rPr>
          <w:rFonts w:cs="Arial"/>
        </w:rPr>
        <w:t>2.6</w:t>
      </w:r>
      <w:r w:rsidRPr="001B7DC2">
        <w:rPr>
          <w:rFonts w:cs="Arial"/>
        </w:rPr>
        <w:tab/>
      </w:r>
      <w:r w:rsidR="00936F2B" w:rsidRPr="001B7DC2">
        <w:rPr>
          <w:rFonts w:cs="Arial"/>
        </w:rPr>
        <w:t xml:space="preserve">The </w:t>
      </w:r>
      <w:r w:rsidR="005E0E09" w:rsidRPr="001B7DC2">
        <w:rPr>
          <w:rFonts w:cs="Arial"/>
        </w:rPr>
        <w:t xml:space="preserve">equity-like </w:t>
      </w:r>
      <w:r w:rsidR="00936F2B" w:rsidRPr="001B7DC2">
        <w:rPr>
          <w:rFonts w:cs="Arial"/>
        </w:rPr>
        <w:t xml:space="preserve">capital growth component of property returns is very variable and volatile.  Real property prices do not show the rapid price fluctuations of quoted equities, but on a longer time scale, price movements can be just as severe.  The 2.1% </w:t>
      </w:r>
      <w:r w:rsidR="004E77FF" w:rsidRPr="001B7DC2">
        <w:rPr>
          <w:rFonts w:cs="Arial"/>
        </w:rPr>
        <w:t xml:space="preserve">per annum </w:t>
      </w:r>
      <w:r w:rsidR="00936F2B" w:rsidRPr="001B7DC2">
        <w:rPr>
          <w:rFonts w:cs="Arial"/>
        </w:rPr>
        <w:t xml:space="preserve">long term UK capital growth component quoted </w:t>
      </w:r>
      <w:r w:rsidR="00F23480" w:rsidRPr="001B7DC2">
        <w:rPr>
          <w:rFonts w:cs="Arial"/>
        </w:rPr>
        <w:t xml:space="preserve">in the </w:t>
      </w:r>
      <w:r w:rsidR="0030037C" w:rsidRPr="001B7DC2">
        <w:rPr>
          <w:rFonts w:cs="Arial"/>
        </w:rPr>
        <w:t>introduction</w:t>
      </w:r>
      <w:r w:rsidR="00936F2B" w:rsidRPr="001B7DC2">
        <w:rPr>
          <w:rFonts w:cs="Arial"/>
        </w:rPr>
        <w:t xml:space="preserve"> hides years of boom and bust.  Extraordinary growth of 20% to 30% </w:t>
      </w:r>
      <w:r w:rsidR="00F23480" w:rsidRPr="001B7DC2">
        <w:rPr>
          <w:rFonts w:cs="Arial"/>
        </w:rPr>
        <w:t xml:space="preserve">per year </w:t>
      </w:r>
      <w:r w:rsidR="00936F2B" w:rsidRPr="001B7DC2">
        <w:rPr>
          <w:rFonts w:cs="Arial"/>
        </w:rPr>
        <w:t>was recorded on 1987, 1988, 1994 and 2005 to 2007. These periods were followed by busts</w:t>
      </w:r>
      <w:r w:rsidR="005E0E09" w:rsidRPr="001B7DC2">
        <w:rPr>
          <w:rFonts w:cs="Arial"/>
        </w:rPr>
        <w:t xml:space="preserve"> with years of falling prices</w:t>
      </w:r>
      <w:r w:rsidR="00936F2B" w:rsidRPr="001B7DC2">
        <w:rPr>
          <w:rFonts w:cs="Arial"/>
        </w:rPr>
        <w:t>.  In 2008 and 2009 values fell -20% to -30%</w:t>
      </w:r>
      <w:r w:rsidR="00F23480" w:rsidRPr="001B7DC2">
        <w:rPr>
          <w:rFonts w:cs="Arial"/>
        </w:rPr>
        <w:t xml:space="preserve"> each year</w:t>
      </w:r>
      <w:r w:rsidR="00936F2B" w:rsidRPr="001B7DC2">
        <w:rPr>
          <w:rFonts w:cs="Arial"/>
        </w:rPr>
        <w:t>.</w:t>
      </w:r>
    </w:p>
    <w:p w:rsidR="00A11E40" w:rsidRPr="001B7DC2" w:rsidRDefault="00F3220F" w:rsidP="001B7DC2">
      <w:pPr>
        <w:ind w:left="720" w:hanging="720"/>
        <w:rPr>
          <w:rFonts w:cs="Arial"/>
        </w:rPr>
      </w:pPr>
      <w:r w:rsidRPr="001B7DC2">
        <w:rPr>
          <w:rFonts w:cs="Arial"/>
        </w:rPr>
        <w:t>2.7</w:t>
      </w:r>
      <w:r w:rsidRPr="001B7DC2">
        <w:rPr>
          <w:rFonts w:cs="Arial"/>
        </w:rPr>
        <w:tab/>
      </w:r>
      <w:r w:rsidR="00A11E40" w:rsidRPr="001B7DC2">
        <w:rPr>
          <w:rFonts w:cs="Arial"/>
        </w:rPr>
        <w:t xml:space="preserve">Asset management and development activity can drive property </w:t>
      </w:r>
      <w:r w:rsidR="00084733" w:rsidRPr="001B7DC2">
        <w:rPr>
          <w:rFonts w:cs="Arial"/>
        </w:rPr>
        <w:t>returns in a manner less correlated with general property market/index returns, but such activity also involves an acceptance of the risks attached to such activities.</w:t>
      </w:r>
    </w:p>
    <w:p w:rsidR="00285910" w:rsidRPr="001B7DC2" w:rsidRDefault="00F3220F" w:rsidP="001B7DC2">
      <w:pPr>
        <w:ind w:left="720" w:hanging="720"/>
        <w:rPr>
          <w:rFonts w:cs="Arial"/>
        </w:rPr>
      </w:pPr>
      <w:r w:rsidRPr="001B7DC2">
        <w:rPr>
          <w:rFonts w:cs="Arial"/>
        </w:rPr>
        <w:t>2.8</w:t>
      </w:r>
      <w:r w:rsidRPr="001B7DC2">
        <w:rPr>
          <w:rFonts w:cs="Arial"/>
        </w:rPr>
        <w:tab/>
      </w:r>
      <w:r w:rsidR="00285910" w:rsidRPr="001B7DC2">
        <w:rPr>
          <w:rFonts w:cs="Arial"/>
        </w:rPr>
        <w:t xml:space="preserve">Capital values of commercial property fluctuate significantly depending on the security of the rental income.  Like bonds, prices depend on the covenant strength of the issuer and the length of the lease contract.  Unlike bonds, the rental income can be turned on and off as leases are issued and </w:t>
      </w:r>
      <w:r w:rsidR="002D0FB1" w:rsidRPr="001B7DC2">
        <w:rPr>
          <w:rFonts w:cs="Arial"/>
        </w:rPr>
        <w:t>terminate</w:t>
      </w:r>
      <w:r w:rsidR="00285910" w:rsidRPr="001B7DC2">
        <w:rPr>
          <w:rFonts w:cs="Arial"/>
        </w:rPr>
        <w:t xml:space="preserve">.  </w:t>
      </w:r>
      <w:r w:rsidR="00285910" w:rsidRPr="001B7DC2">
        <w:rPr>
          <w:rFonts w:cs="Arial"/>
        </w:rPr>
        <w:lastRenderedPageBreak/>
        <w:t>The value of an office block in a secondary location, for example, can fall as much as 30% if a tenant decides not to renew a lease.  Correspondingly it will rise again if a new long-term tenant is signed up.  A typical private equity property strategy is to seek out buildings that are vacant or with short leases, then refurbish some parts, re-let and re-gear the leases, then sell realising the capital appreciation embedded in the new longer leases.</w:t>
      </w:r>
    </w:p>
    <w:p w:rsidR="005E0E09" w:rsidRPr="001B7DC2" w:rsidRDefault="00F3220F" w:rsidP="001B7DC2">
      <w:pPr>
        <w:ind w:left="720" w:hanging="720"/>
        <w:rPr>
          <w:rFonts w:cs="Arial"/>
        </w:rPr>
      </w:pPr>
      <w:r w:rsidRPr="001B7DC2">
        <w:rPr>
          <w:rFonts w:cs="Arial"/>
        </w:rPr>
        <w:t>2.9</w:t>
      </w:r>
      <w:r w:rsidRPr="001B7DC2">
        <w:rPr>
          <w:rFonts w:cs="Arial"/>
        </w:rPr>
        <w:tab/>
      </w:r>
      <w:r w:rsidR="005E0E09" w:rsidRPr="001B7DC2">
        <w:rPr>
          <w:rFonts w:cs="Arial"/>
        </w:rPr>
        <w:t xml:space="preserve">In practice, property investment can be structured to create </w:t>
      </w:r>
      <w:r w:rsidR="00084733" w:rsidRPr="001B7DC2">
        <w:rPr>
          <w:rFonts w:cs="Arial"/>
        </w:rPr>
        <w:t xml:space="preserve">a range of different risk/reward profiles from </w:t>
      </w:r>
      <w:r w:rsidR="009F5436" w:rsidRPr="001B7DC2">
        <w:rPr>
          <w:rFonts w:cs="Arial"/>
        </w:rPr>
        <w:t xml:space="preserve">stable </w:t>
      </w:r>
      <w:r w:rsidR="005E0E09" w:rsidRPr="001B7DC2">
        <w:rPr>
          <w:rFonts w:cs="Arial"/>
        </w:rPr>
        <w:t xml:space="preserve">bond-like annuity income performance </w:t>
      </w:r>
      <w:r w:rsidR="00084733" w:rsidRPr="001B7DC2">
        <w:rPr>
          <w:rFonts w:cs="Arial"/>
        </w:rPr>
        <w:t>to</w:t>
      </w:r>
      <w:r w:rsidR="005E0E09" w:rsidRPr="001B7DC2">
        <w:rPr>
          <w:rFonts w:cs="Arial"/>
        </w:rPr>
        <w:t xml:space="preserve"> </w:t>
      </w:r>
      <w:r w:rsidR="00084733" w:rsidRPr="001B7DC2">
        <w:rPr>
          <w:rFonts w:cs="Arial"/>
        </w:rPr>
        <w:t xml:space="preserve">volatile </w:t>
      </w:r>
      <w:r w:rsidR="005E0E09" w:rsidRPr="001B7DC2">
        <w:rPr>
          <w:rFonts w:cs="Arial"/>
        </w:rPr>
        <w:t xml:space="preserve">equity-like </w:t>
      </w:r>
      <w:r w:rsidR="00084733" w:rsidRPr="001B7DC2">
        <w:rPr>
          <w:rFonts w:cs="Arial"/>
        </w:rPr>
        <w:t xml:space="preserve">development </w:t>
      </w:r>
      <w:r w:rsidR="005E0E09" w:rsidRPr="001B7DC2">
        <w:rPr>
          <w:rFonts w:cs="Arial"/>
        </w:rPr>
        <w:t>returns</w:t>
      </w:r>
      <w:r w:rsidR="00084733" w:rsidRPr="001B7DC2">
        <w:rPr>
          <w:rFonts w:cs="Arial"/>
        </w:rPr>
        <w:t xml:space="preserve">. </w:t>
      </w:r>
      <w:r w:rsidR="009F5436" w:rsidRPr="001B7DC2">
        <w:rPr>
          <w:rFonts w:cs="Arial"/>
        </w:rPr>
        <w:t xml:space="preserve"> </w:t>
      </w:r>
      <w:r w:rsidR="00084733" w:rsidRPr="001B7DC2">
        <w:rPr>
          <w:rFonts w:cs="Arial"/>
        </w:rPr>
        <w:t xml:space="preserve"> </w:t>
      </w:r>
    </w:p>
    <w:p w:rsidR="005E0E09" w:rsidRPr="001B7DC2" w:rsidRDefault="00084733" w:rsidP="001B7DC2">
      <w:pPr>
        <w:rPr>
          <w:rFonts w:cs="Arial"/>
          <w:u w:val="single"/>
        </w:rPr>
      </w:pPr>
      <w:r w:rsidRPr="001B7DC2">
        <w:rPr>
          <w:rFonts w:cs="Arial"/>
          <w:u w:val="single"/>
        </w:rPr>
        <w:t xml:space="preserve">Country property </w:t>
      </w:r>
      <w:r w:rsidR="00E82F3D" w:rsidRPr="001B7DC2">
        <w:rPr>
          <w:rFonts w:cs="Arial"/>
          <w:u w:val="single"/>
        </w:rPr>
        <w:t xml:space="preserve">risks and </w:t>
      </w:r>
      <w:r w:rsidRPr="001B7DC2">
        <w:rPr>
          <w:rFonts w:cs="Arial"/>
          <w:u w:val="single"/>
        </w:rPr>
        <w:t>returns</w:t>
      </w:r>
    </w:p>
    <w:p w:rsidR="00140364" w:rsidRPr="001B7DC2" w:rsidRDefault="00F3220F" w:rsidP="001B7DC2">
      <w:pPr>
        <w:ind w:left="720" w:hanging="720"/>
        <w:rPr>
          <w:rFonts w:cs="Arial"/>
        </w:rPr>
      </w:pPr>
      <w:r w:rsidRPr="001B7DC2">
        <w:rPr>
          <w:rFonts w:cs="Arial"/>
        </w:rPr>
        <w:t>2.10</w:t>
      </w:r>
      <w:r w:rsidRPr="001B7DC2">
        <w:rPr>
          <w:rFonts w:cs="Arial"/>
        </w:rPr>
        <w:tab/>
      </w:r>
      <w:r w:rsidR="009F5436" w:rsidRPr="001B7DC2">
        <w:rPr>
          <w:rFonts w:cs="Arial"/>
        </w:rPr>
        <w:t xml:space="preserve">Different countries display very different property returns.  </w:t>
      </w:r>
      <w:r w:rsidR="00140364" w:rsidRPr="001B7DC2">
        <w:rPr>
          <w:rFonts w:cs="Arial"/>
        </w:rPr>
        <w:t>This may be part timing in that volatility in capital values tends to move in cycles between optimism and pessimism, so the starting point of the measure can influence the return.</w:t>
      </w:r>
    </w:p>
    <w:p w:rsidR="00140364" w:rsidRPr="001B7DC2" w:rsidRDefault="00F3220F" w:rsidP="001B7DC2">
      <w:pPr>
        <w:ind w:left="720" w:hanging="720"/>
        <w:rPr>
          <w:rFonts w:cs="Arial"/>
        </w:rPr>
      </w:pPr>
      <w:r w:rsidRPr="001B7DC2">
        <w:rPr>
          <w:rFonts w:cs="Arial"/>
        </w:rPr>
        <w:t>2.11</w:t>
      </w:r>
      <w:r w:rsidRPr="001B7DC2">
        <w:rPr>
          <w:rFonts w:cs="Arial"/>
        </w:rPr>
        <w:tab/>
      </w:r>
      <w:r w:rsidR="003E073C" w:rsidRPr="001B7DC2">
        <w:rPr>
          <w:rFonts w:cs="Arial"/>
        </w:rPr>
        <w:t>T</w:t>
      </w:r>
      <w:r w:rsidR="00140364" w:rsidRPr="001B7DC2">
        <w:rPr>
          <w:rFonts w:cs="Arial"/>
        </w:rPr>
        <w:t xml:space="preserve">here is also a linkage with the economic prosperity of the country.  Property prices are affected by macro-economic factors such as GDP and the availability of credit and investment as well as country-specific factors. Among </w:t>
      </w:r>
      <w:r w:rsidR="003743DF" w:rsidRPr="001B7DC2">
        <w:rPr>
          <w:rFonts w:cs="Arial"/>
        </w:rPr>
        <w:t xml:space="preserve">the </w:t>
      </w:r>
      <w:r w:rsidR="00140364" w:rsidRPr="001B7DC2">
        <w:rPr>
          <w:rFonts w:cs="Arial"/>
        </w:rPr>
        <w:t xml:space="preserve">various macroeconomic factors, GDP </w:t>
      </w:r>
      <w:r w:rsidR="00F139FC" w:rsidRPr="001B7DC2">
        <w:rPr>
          <w:rFonts w:cs="Arial"/>
        </w:rPr>
        <w:t xml:space="preserve">is important with research by the Bank of International Settlements suggesting it is </w:t>
      </w:r>
      <w:r w:rsidR="00140364" w:rsidRPr="001B7DC2">
        <w:rPr>
          <w:rFonts w:cs="Arial"/>
        </w:rPr>
        <w:t>"a dominant influence on commercial property prices"</w:t>
      </w:r>
      <w:r w:rsidR="00F139FC" w:rsidRPr="001B7DC2">
        <w:rPr>
          <w:rFonts w:cs="Arial"/>
        </w:rPr>
        <w:t xml:space="preserve">.  </w:t>
      </w:r>
    </w:p>
    <w:p w:rsidR="009F5436" w:rsidRPr="001B7DC2" w:rsidRDefault="00F3220F" w:rsidP="001B7DC2">
      <w:pPr>
        <w:ind w:left="720" w:hanging="720"/>
        <w:rPr>
          <w:rFonts w:cs="Arial"/>
        </w:rPr>
      </w:pPr>
      <w:r w:rsidRPr="001B7DC2">
        <w:rPr>
          <w:rFonts w:cs="Arial"/>
        </w:rPr>
        <w:t>2.12</w:t>
      </w:r>
      <w:r w:rsidRPr="001B7DC2">
        <w:rPr>
          <w:rFonts w:cs="Arial"/>
        </w:rPr>
        <w:tab/>
      </w:r>
      <w:r w:rsidR="009F5436" w:rsidRPr="001B7DC2">
        <w:rPr>
          <w:rFonts w:cs="Arial"/>
        </w:rPr>
        <w:t>Property Total Returns by country have been tracked by IPD indices (in local currency) for some time, for example as follows:</w:t>
      </w:r>
    </w:p>
    <w:p w:rsidR="0030037C" w:rsidRPr="001B7DC2" w:rsidRDefault="0030037C" w:rsidP="001B7DC2">
      <w:pPr>
        <w:ind w:left="720" w:hanging="720"/>
        <w:rPr>
          <w:rFonts w:cs="Arial"/>
        </w:rPr>
      </w:pPr>
    </w:p>
    <w:tbl>
      <w:tblPr>
        <w:tblStyle w:val="TableGrid"/>
        <w:tblW w:w="0" w:type="auto"/>
        <w:jc w:val="center"/>
        <w:tblLook w:val="04A0"/>
      </w:tblPr>
      <w:tblGrid>
        <w:gridCol w:w="4724"/>
        <w:gridCol w:w="2047"/>
        <w:gridCol w:w="2126"/>
      </w:tblGrid>
      <w:tr w:rsidR="009F5436" w:rsidRPr="001B7DC2" w:rsidTr="00EF1C6E">
        <w:trPr>
          <w:jc w:val="center"/>
        </w:trPr>
        <w:tc>
          <w:tcPr>
            <w:tcW w:w="4724" w:type="dxa"/>
          </w:tcPr>
          <w:p w:rsidR="009F5436" w:rsidRPr="001B7DC2" w:rsidRDefault="009F5436" w:rsidP="001B7DC2">
            <w:pPr>
              <w:rPr>
                <w:rFonts w:cs="Arial"/>
              </w:rPr>
            </w:pPr>
            <w:r w:rsidRPr="001B7DC2">
              <w:rPr>
                <w:rFonts w:cs="Arial"/>
              </w:rPr>
              <w:t>Country</w:t>
            </w:r>
          </w:p>
        </w:tc>
        <w:tc>
          <w:tcPr>
            <w:tcW w:w="2047" w:type="dxa"/>
          </w:tcPr>
          <w:p w:rsidR="009F5436" w:rsidRPr="001B7DC2" w:rsidRDefault="009F5436" w:rsidP="001B7DC2">
            <w:pPr>
              <w:jc w:val="center"/>
              <w:rPr>
                <w:rFonts w:cs="Arial"/>
              </w:rPr>
            </w:pPr>
            <w:r w:rsidRPr="001B7DC2">
              <w:rPr>
                <w:rFonts w:cs="Arial"/>
              </w:rPr>
              <w:t>Total Return pa</w:t>
            </w:r>
          </w:p>
        </w:tc>
        <w:tc>
          <w:tcPr>
            <w:tcW w:w="2126" w:type="dxa"/>
          </w:tcPr>
          <w:p w:rsidR="009F5436" w:rsidRPr="001B7DC2" w:rsidRDefault="009F5436" w:rsidP="001B7DC2">
            <w:pPr>
              <w:jc w:val="center"/>
              <w:rPr>
                <w:rFonts w:cs="Arial"/>
              </w:rPr>
            </w:pPr>
            <w:r w:rsidRPr="001B7DC2">
              <w:rPr>
                <w:rFonts w:cs="Arial"/>
              </w:rPr>
              <w:t>Over</w:t>
            </w:r>
          </w:p>
        </w:tc>
      </w:tr>
      <w:tr w:rsidR="009F5436" w:rsidRPr="001B7DC2" w:rsidTr="00EF1C6E">
        <w:trPr>
          <w:jc w:val="center"/>
        </w:trPr>
        <w:tc>
          <w:tcPr>
            <w:tcW w:w="4724" w:type="dxa"/>
          </w:tcPr>
          <w:p w:rsidR="009F5436" w:rsidRPr="001B7DC2" w:rsidRDefault="009F5436" w:rsidP="001B7DC2">
            <w:pPr>
              <w:rPr>
                <w:rFonts w:cs="Arial"/>
              </w:rPr>
            </w:pPr>
          </w:p>
        </w:tc>
        <w:tc>
          <w:tcPr>
            <w:tcW w:w="2047" w:type="dxa"/>
          </w:tcPr>
          <w:p w:rsidR="009F5436" w:rsidRPr="001B7DC2" w:rsidRDefault="009F5436" w:rsidP="001B7DC2">
            <w:pPr>
              <w:jc w:val="center"/>
              <w:rPr>
                <w:rFonts w:cs="Arial"/>
              </w:rPr>
            </w:pPr>
            <w:r w:rsidRPr="001B7DC2">
              <w:rPr>
                <w:rFonts w:cs="Arial"/>
              </w:rPr>
              <w:t>% p.a.</w:t>
            </w:r>
          </w:p>
        </w:tc>
        <w:tc>
          <w:tcPr>
            <w:tcW w:w="2126" w:type="dxa"/>
          </w:tcPr>
          <w:p w:rsidR="009F5436" w:rsidRPr="001B7DC2" w:rsidRDefault="009F5436" w:rsidP="001B7DC2">
            <w:pPr>
              <w:jc w:val="center"/>
              <w:rPr>
                <w:rFonts w:cs="Arial"/>
              </w:rPr>
            </w:pPr>
          </w:p>
        </w:tc>
      </w:tr>
      <w:tr w:rsidR="009F5436" w:rsidRPr="001B7DC2" w:rsidTr="00EF1C6E">
        <w:trPr>
          <w:jc w:val="center"/>
        </w:trPr>
        <w:tc>
          <w:tcPr>
            <w:tcW w:w="4724" w:type="dxa"/>
          </w:tcPr>
          <w:p w:rsidR="009F5436" w:rsidRPr="001B7DC2" w:rsidRDefault="009F5436" w:rsidP="001B7DC2">
            <w:pPr>
              <w:rPr>
                <w:rFonts w:cs="Arial"/>
              </w:rPr>
            </w:pPr>
          </w:p>
        </w:tc>
        <w:tc>
          <w:tcPr>
            <w:tcW w:w="2047" w:type="dxa"/>
          </w:tcPr>
          <w:p w:rsidR="009F5436" w:rsidRPr="001B7DC2" w:rsidRDefault="009F5436" w:rsidP="001B7DC2">
            <w:pPr>
              <w:jc w:val="center"/>
              <w:rPr>
                <w:rFonts w:cs="Arial"/>
              </w:rPr>
            </w:pPr>
          </w:p>
        </w:tc>
        <w:tc>
          <w:tcPr>
            <w:tcW w:w="2126" w:type="dxa"/>
          </w:tcPr>
          <w:p w:rsidR="009F5436" w:rsidRPr="001B7DC2" w:rsidRDefault="009F5436" w:rsidP="001B7DC2">
            <w:pPr>
              <w:jc w:val="center"/>
              <w:rPr>
                <w:rFonts w:cs="Arial"/>
              </w:rPr>
            </w:pPr>
          </w:p>
        </w:tc>
      </w:tr>
      <w:tr w:rsidR="009F5436" w:rsidRPr="001B7DC2" w:rsidTr="00EF1C6E">
        <w:trPr>
          <w:jc w:val="center"/>
        </w:trPr>
        <w:tc>
          <w:tcPr>
            <w:tcW w:w="4724" w:type="dxa"/>
          </w:tcPr>
          <w:p w:rsidR="009F5436" w:rsidRPr="001B7DC2" w:rsidRDefault="009F5436" w:rsidP="001B7DC2">
            <w:pPr>
              <w:rPr>
                <w:rFonts w:cs="Arial"/>
              </w:rPr>
            </w:pPr>
            <w:r w:rsidRPr="001B7DC2">
              <w:rPr>
                <w:rFonts w:cs="Arial"/>
              </w:rPr>
              <w:t>South Korea</w:t>
            </w:r>
          </w:p>
        </w:tc>
        <w:tc>
          <w:tcPr>
            <w:tcW w:w="2047" w:type="dxa"/>
          </w:tcPr>
          <w:p w:rsidR="009F5436" w:rsidRPr="001B7DC2" w:rsidRDefault="009F5436" w:rsidP="001B7DC2">
            <w:pPr>
              <w:jc w:val="center"/>
              <w:rPr>
                <w:rFonts w:cs="Arial"/>
              </w:rPr>
            </w:pPr>
            <w:r w:rsidRPr="001B7DC2">
              <w:rPr>
                <w:rFonts w:cs="Arial"/>
              </w:rPr>
              <w:t>11.0%</w:t>
            </w:r>
          </w:p>
        </w:tc>
        <w:tc>
          <w:tcPr>
            <w:tcW w:w="2126" w:type="dxa"/>
          </w:tcPr>
          <w:p w:rsidR="009F5436" w:rsidRPr="001B7DC2" w:rsidRDefault="009F5436" w:rsidP="001B7DC2">
            <w:pPr>
              <w:jc w:val="center"/>
              <w:rPr>
                <w:rFonts w:cs="Arial"/>
              </w:rPr>
            </w:pPr>
            <w:r w:rsidRPr="001B7DC2">
              <w:rPr>
                <w:rFonts w:cs="Arial"/>
              </w:rPr>
              <w:t>7 years</w:t>
            </w:r>
          </w:p>
        </w:tc>
      </w:tr>
      <w:tr w:rsidR="009F5436" w:rsidRPr="001B7DC2" w:rsidTr="00EF1C6E">
        <w:trPr>
          <w:jc w:val="center"/>
        </w:trPr>
        <w:tc>
          <w:tcPr>
            <w:tcW w:w="4724" w:type="dxa"/>
          </w:tcPr>
          <w:p w:rsidR="009F5436" w:rsidRPr="001B7DC2" w:rsidRDefault="009F5436" w:rsidP="001B7DC2">
            <w:pPr>
              <w:rPr>
                <w:rFonts w:cs="Arial"/>
              </w:rPr>
            </w:pPr>
            <w:r w:rsidRPr="001B7DC2">
              <w:rPr>
                <w:rFonts w:cs="Arial"/>
              </w:rPr>
              <w:t>France</w:t>
            </w:r>
          </w:p>
        </w:tc>
        <w:tc>
          <w:tcPr>
            <w:tcW w:w="2047" w:type="dxa"/>
          </w:tcPr>
          <w:p w:rsidR="009F5436" w:rsidRPr="001B7DC2" w:rsidRDefault="009F5436" w:rsidP="001B7DC2">
            <w:pPr>
              <w:jc w:val="center"/>
              <w:rPr>
                <w:rFonts w:cs="Arial"/>
              </w:rPr>
            </w:pPr>
            <w:r w:rsidRPr="001B7DC2">
              <w:rPr>
                <w:rFonts w:cs="Arial"/>
              </w:rPr>
              <w:t>6.28%</w:t>
            </w:r>
          </w:p>
        </w:tc>
        <w:tc>
          <w:tcPr>
            <w:tcW w:w="2126" w:type="dxa"/>
          </w:tcPr>
          <w:p w:rsidR="009F5436" w:rsidRPr="001B7DC2" w:rsidRDefault="009F5436" w:rsidP="001B7DC2">
            <w:pPr>
              <w:jc w:val="center"/>
              <w:rPr>
                <w:rFonts w:cs="Arial"/>
              </w:rPr>
            </w:pPr>
            <w:r w:rsidRPr="001B7DC2">
              <w:rPr>
                <w:rFonts w:cs="Arial"/>
              </w:rPr>
              <w:t>10 years</w:t>
            </w:r>
          </w:p>
        </w:tc>
      </w:tr>
      <w:tr w:rsidR="009F5436" w:rsidRPr="001B7DC2" w:rsidTr="00EF1C6E">
        <w:trPr>
          <w:jc w:val="center"/>
        </w:trPr>
        <w:tc>
          <w:tcPr>
            <w:tcW w:w="4724" w:type="dxa"/>
          </w:tcPr>
          <w:p w:rsidR="009F5436" w:rsidRPr="001B7DC2" w:rsidRDefault="009F5436" w:rsidP="001B7DC2">
            <w:pPr>
              <w:rPr>
                <w:rFonts w:cs="Arial"/>
              </w:rPr>
            </w:pPr>
          </w:p>
        </w:tc>
        <w:tc>
          <w:tcPr>
            <w:tcW w:w="2047" w:type="dxa"/>
          </w:tcPr>
          <w:p w:rsidR="009F5436" w:rsidRPr="001B7DC2" w:rsidRDefault="009F5436" w:rsidP="001B7DC2">
            <w:pPr>
              <w:jc w:val="center"/>
              <w:rPr>
                <w:rFonts w:cs="Arial"/>
              </w:rPr>
            </w:pPr>
          </w:p>
        </w:tc>
        <w:tc>
          <w:tcPr>
            <w:tcW w:w="2126" w:type="dxa"/>
          </w:tcPr>
          <w:p w:rsidR="009F5436" w:rsidRPr="001B7DC2" w:rsidRDefault="009F5436" w:rsidP="001B7DC2">
            <w:pPr>
              <w:jc w:val="center"/>
              <w:rPr>
                <w:rFonts w:cs="Arial"/>
              </w:rPr>
            </w:pPr>
          </w:p>
        </w:tc>
      </w:tr>
      <w:tr w:rsidR="009F5436" w:rsidRPr="001B7DC2" w:rsidTr="00EF1C6E">
        <w:trPr>
          <w:jc w:val="center"/>
        </w:trPr>
        <w:tc>
          <w:tcPr>
            <w:tcW w:w="4724" w:type="dxa"/>
          </w:tcPr>
          <w:p w:rsidR="009F5436" w:rsidRPr="001B7DC2" w:rsidRDefault="009F5436" w:rsidP="001B7DC2">
            <w:pPr>
              <w:rPr>
                <w:rFonts w:cs="Arial"/>
              </w:rPr>
            </w:pPr>
            <w:r w:rsidRPr="001B7DC2">
              <w:rPr>
                <w:rFonts w:cs="Arial"/>
              </w:rPr>
              <w:t>UK</w:t>
            </w:r>
          </w:p>
        </w:tc>
        <w:tc>
          <w:tcPr>
            <w:tcW w:w="2047" w:type="dxa"/>
          </w:tcPr>
          <w:p w:rsidR="009F5436" w:rsidRPr="001B7DC2" w:rsidRDefault="009F5436" w:rsidP="001B7DC2">
            <w:pPr>
              <w:jc w:val="center"/>
              <w:rPr>
                <w:rFonts w:cs="Arial"/>
              </w:rPr>
            </w:pPr>
            <w:r w:rsidRPr="001B7DC2">
              <w:rPr>
                <w:rFonts w:cs="Arial"/>
              </w:rPr>
              <w:t>5.52%</w:t>
            </w:r>
          </w:p>
        </w:tc>
        <w:tc>
          <w:tcPr>
            <w:tcW w:w="2126" w:type="dxa"/>
          </w:tcPr>
          <w:p w:rsidR="009F5436" w:rsidRPr="001B7DC2" w:rsidRDefault="009F5436" w:rsidP="001B7DC2">
            <w:pPr>
              <w:jc w:val="center"/>
              <w:rPr>
                <w:rFonts w:cs="Arial"/>
              </w:rPr>
            </w:pPr>
            <w:r w:rsidRPr="001B7DC2">
              <w:rPr>
                <w:rFonts w:cs="Arial"/>
              </w:rPr>
              <w:t>10 years</w:t>
            </w:r>
          </w:p>
        </w:tc>
      </w:tr>
      <w:tr w:rsidR="009F5436" w:rsidRPr="001B7DC2" w:rsidTr="00EF1C6E">
        <w:trPr>
          <w:jc w:val="center"/>
        </w:trPr>
        <w:tc>
          <w:tcPr>
            <w:tcW w:w="4724" w:type="dxa"/>
          </w:tcPr>
          <w:p w:rsidR="009F5436" w:rsidRPr="001B7DC2" w:rsidRDefault="009F5436" w:rsidP="001B7DC2">
            <w:pPr>
              <w:rPr>
                <w:rFonts w:cs="Arial"/>
              </w:rPr>
            </w:pPr>
          </w:p>
        </w:tc>
        <w:tc>
          <w:tcPr>
            <w:tcW w:w="2047" w:type="dxa"/>
          </w:tcPr>
          <w:p w:rsidR="009F5436" w:rsidRPr="001B7DC2" w:rsidRDefault="009F5436" w:rsidP="001B7DC2">
            <w:pPr>
              <w:jc w:val="center"/>
              <w:rPr>
                <w:rFonts w:cs="Arial"/>
              </w:rPr>
            </w:pPr>
          </w:p>
        </w:tc>
        <w:tc>
          <w:tcPr>
            <w:tcW w:w="2126" w:type="dxa"/>
          </w:tcPr>
          <w:p w:rsidR="009F5436" w:rsidRPr="001B7DC2" w:rsidRDefault="009F5436" w:rsidP="001B7DC2">
            <w:pPr>
              <w:jc w:val="center"/>
              <w:rPr>
                <w:rFonts w:cs="Arial"/>
              </w:rPr>
            </w:pPr>
          </w:p>
        </w:tc>
      </w:tr>
      <w:tr w:rsidR="009F5436" w:rsidRPr="001B7DC2" w:rsidTr="00EF1C6E">
        <w:trPr>
          <w:jc w:val="center"/>
        </w:trPr>
        <w:tc>
          <w:tcPr>
            <w:tcW w:w="4724" w:type="dxa"/>
          </w:tcPr>
          <w:p w:rsidR="009F5436" w:rsidRPr="001B7DC2" w:rsidRDefault="009F5436" w:rsidP="001B7DC2">
            <w:pPr>
              <w:rPr>
                <w:rFonts w:cs="Arial"/>
              </w:rPr>
            </w:pPr>
            <w:r w:rsidRPr="001B7DC2">
              <w:rPr>
                <w:rFonts w:cs="Arial"/>
              </w:rPr>
              <w:t>Japan</w:t>
            </w:r>
          </w:p>
        </w:tc>
        <w:tc>
          <w:tcPr>
            <w:tcW w:w="2047" w:type="dxa"/>
          </w:tcPr>
          <w:p w:rsidR="009F5436" w:rsidRPr="001B7DC2" w:rsidRDefault="009F5436" w:rsidP="001B7DC2">
            <w:pPr>
              <w:jc w:val="center"/>
              <w:rPr>
                <w:rFonts w:cs="Arial"/>
              </w:rPr>
            </w:pPr>
            <w:r w:rsidRPr="001B7DC2">
              <w:rPr>
                <w:rFonts w:cs="Arial"/>
              </w:rPr>
              <w:t>4.98%</w:t>
            </w:r>
          </w:p>
        </w:tc>
        <w:tc>
          <w:tcPr>
            <w:tcW w:w="2126" w:type="dxa"/>
          </w:tcPr>
          <w:p w:rsidR="009F5436" w:rsidRPr="001B7DC2" w:rsidRDefault="009F5436" w:rsidP="001B7DC2">
            <w:pPr>
              <w:jc w:val="center"/>
              <w:rPr>
                <w:rFonts w:cs="Arial"/>
              </w:rPr>
            </w:pPr>
            <w:r w:rsidRPr="001B7DC2">
              <w:rPr>
                <w:rFonts w:cs="Arial"/>
              </w:rPr>
              <w:t>8 years to 2010</w:t>
            </w:r>
          </w:p>
        </w:tc>
      </w:tr>
      <w:tr w:rsidR="009F5436" w:rsidRPr="001B7DC2" w:rsidTr="00EF1C6E">
        <w:trPr>
          <w:jc w:val="center"/>
        </w:trPr>
        <w:tc>
          <w:tcPr>
            <w:tcW w:w="4724" w:type="dxa"/>
          </w:tcPr>
          <w:p w:rsidR="009F5436" w:rsidRPr="001B7DC2" w:rsidRDefault="009F5436" w:rsidP="001B7DC2">
            <w:pPr>
              <w:rPr>
                <w:rFonts w:cs="Arial"/>
              </w:rPr>
            </w:pPr>
            <w:r w:rsidRPr="001B7DC2">
              <w:rPr>
                <w:rFonts w:cs="Arial"/>
              </w:rPr>
              <w:t>US</w:t>
            </w:r>
          </w:p>
        </w:tc>
        <w:tc>
          <w:tcPr>
            <w:tcW w:w="2047" w:type="dxa"/>
          </w:tcPr>
          <w:p w:rsidR="009F5436" w:rsidRPr="001B7DC2" w:rsidRDefault="009F5436" w:rsidP="001B7DC2">
            <w:pPr>
              <w:jc w:val="center"/>
              <w:rPr>
                <w:rFonts w:cs="Arial"/>
              </w:rPr>
            </w:pPr>
            <w:r w:rsidRPr="001B7DC2">
              <w:rPr>
                <w:rFonts w:cs="Arial"/>
              </w:rPr>
              <w:t>4.56%</w:t>
            </w:r>
          </w:p>
        </w:tc>
        <w:tc>
          <w:tcPr>
            <w:tcW w:w="2126" w:type="dxa"/>
          </w:tcPr>
          <w:p w:rsidR="009F5436" w:rsidRPr="001B7DC2" w:rsidRDefault="009F5436" w:rsidP="001B7DC2">
            <w:pPr>
              <w:jc w:val="center"/>
              <w:rPr>
                <w:rFonts w:cs="Arial"/>
              </w:rPr>
            </w:pPr>
            <w:r w:rsidRPr="001B7DC2">
              <w:rPr>
                <w:rFonts w:cs="Arial"/>
              </w:rPr>
              <w:t>10 years</w:t>
            </w:r>
          </w:p>
        </w:tc>
      </w:tr>
      <w:tr w:rsidR="009F5436" w:rsidRPr="001B7DC2" w:rsidTr="00EF1C6E">
        <w:trPr>
          <w:jc w:val="center"/>
        </w:trPr>
        <w:tc>
          <w:tcPr>
            <w:tcW w:w="4724" w:type="dxa"/>
          </w:tcPr>
          <w:p w:rsidR="009F5436" w:rsidRPr="001B7DC2" w:rsidRDefault="009F5436" w:rsidP="001B7DC2">
            <w:pPr>
              <w:rPr>
                <w:rFonts w:cs="Arial"/>
              </w:rPr>
            </w:pPr>
            <w:r w:rsidRPr="001B7DC2">
              <w:rPr>
                <w:rFonts w:cs="Arial"/>
              </w:rPr>
              <w:t>Germany</w:t>
            </w:r>
          </w:p>
        </w:tc>
        <w:tc>
          <w:tcPr>
            <w:tcW w:w="2047" w:type="dxa"/>
          </w:tcPr>
          <w:p w:rsidR="009F5436" w:rsidRPr="001B7DC2" w:rsidRDefault="009F5436" w:rsidP="001B7DC2">
            <w:pPr>
              <w:jc w:val="center"/>
              <w:rPr>
                <w:rFonts w:cs="Arial"/>
              </w:rPr>
            </w:pPr>
            <w:r w:rsidRPr="001B7DC2">
              <w:rPr>
                <w:rFonts w:cs="Arial"/>
              </w:rPr>
              <w:t>2.87%</w:t>
            </w:r>
          </w:p>
        </w:tc>
        <w:tc>
          <w:tcPr>
            <w:tcW w:w="2126" w:type="dxa"/>
          </w:tcPr>
          <w:p w:rsidR="009F5436" w:rsidRPr="001B7DC2" w:rsidRDefault="009F5436" w:rsidP="001B7DC2">
            <w:pPr>
              <w:jc w:val="center"/>
              <w:rPr>
                <w:rFonts w:cs="Arial"/>
              </w:rPr>
            </w:pPr>
            <w:r w:rsidRPr="001B7DC2">
              <w:rPr>
                <w:rFonts w:cs="Arial"/>
              </w:rPr>
              <w:t>10 years</w:t>
            </w:r>
          </w:p>
        </w:tc>
      </w:tr>
    </w:tbl>
    <w:p w:rsidR="009F5436" w:rsidRPr="001B7DC2" w:rsidRDefault="009F5436" w:rsidP="001B7DC2">
      <w:pPr>
        <w:rPr>
          <w:rFonts w:cs="Arial"/>
        </w:rPr>
      </w:pPr>
      <w:bookmarkStart w:id="0" w:name="_GoBack"/>
      <w:bookmarkEnd w:id="0"/>
    </w:p>
    <w:p w:rsidR="00BC735F" w:rsidRPr="001B7DC2" w:rsidRDefault="00140364" w:rsidP="001B7DC2">
      <w:pPr>
        <w:keepLines/>
        <w:ind w:left="720"/>
        <w:rPr>
          <w:rFonts w:cs="Arial"/>
        </w:rPr>
      </w:pPr>
      <w:r w:rsidRPr="001B7DC2">
        <w:rPr>
          <w:rFonts w:cs="Arial"/>
        </w:rPr>
        <w:t>The figures are presented to illustrate the variability of country returns</w:t>
      </w:r>
      <w:r w:rsidR="004B0483" w:rsidRPr="001B7DC2">
        <w:rPr>
          <w:rFonts w:cs="Arial"/>
        </w:rPr>
        <w:t xml:space="preserve"> between countries.  Figures are presented for South Korea as a proxy for developing economies </w:t>
      </w:r>
      <w:r w:rsidR="00E82F3D" w:rsidRPr="001B7DC2">
        <w:rPr>
          <w:rFonts w:cs="Arial"/>
        </w:rPr>
        <w:t xml:space="preserve">with faster growing GDPs </w:t>
      </w:r>
      <w:r w:rsidR="004B0483" w:rsidRPr="001B7DC2">
        <w:rPr>
          <w:rFonts w:cs="Arial"/>
        </w:rPr>
        <w:t>as it is the only emerging country for which an IPD index is available.</w:t>
      </w:r>
    </w:p>
    <w:p w:rsidR="00E82F3D" w:rsidRPr="001B7DC2" w:rsidRDefault="00F3220F" w:rsidP="001B7DC2">
      <w:pPr>
        <w:ind w:left="720" w:hanging="720"/>
        <w:rPr>
          <w:rFonts w:cs="Arial"/>
        </w:rPr>
      </w:pPr>
      <w:r w:rsidRPr="001B7DC2">
        <w:rPr>
          <w:rFonts w:cs="Arial"/>
        </w:rPr>
        <w:t>2.13</w:t>
      </w:r>
      <w:r w:rsidRPr="001B7DC2">
        <w:rPr>
          <w:rFonts w:cs="Arial"/>
        </w:rPr>
        <w:tab/>
      </w:r>
      <w:r w:rsidR="009F5436" w:rsidRPr="001B7DC2">
        <w:rPr>
          <w:rFonts w:cs="Arial"/>
        </w:rPr>
        <w:t xml:space="preserve">UK Property returns have been comparable with returns in all the major developed economies, but </w:t>
      </w:r>
      <w:r w:rsidR="00E82F3D" w:rsidRPr="001B7DC2">
        <w:rPr>
          <w:rFonts w:cs="Arial"/>
        </w:rPr>
        <w:t xml:space="preserve">in recent years </w:t>
      </w:r>
      <w:r w:rsidR="009F5436" w:rsidRPr="001B7DC2">
        <w:rPr>
          <w:rFonts w:cs="Arial"/>
        </w:rPr>
        <w:t xml:space="preserve">have lagged property returns </w:t>
      </w:r>
      <w:r w:rsidR="00C97986" w:rsidRPr="001B7DC2">
        <w:rPr>
          <w:rFonts w:cs="Arial"/>
        </w:rPr>
        <w:t>seen</w:t>
      </w:r>
      <w:r w:rsidR="009F5436" w:rsidRPr="001B7DC2">
        <w:rPr>
          <w:rFonts w:cs="Arial"/>
        </w:rPr>
        <w:t xml:space="preserve"> in faster developing economies</w:t>
      </w:r>
      <w:r w:rsidR="004B0483" w:rsidRPr="001B7DC2">
        <w:rPr>
          <w:rFonts w:cs="Arial"/>
        </w:rPr>
        <w:t>, as illustrated by the example of</w:t>
      </w:r>
      <w:r w:rsidR="009F5436" w:rsidRPr="001B7DC2">
        <w:rPr>
          <w:rFonts w:cs="Arial"/>
        </w:rPr>
        <w:t xml:space="preserve"> South Korea.</w:t>
      </w:r>
      <w:r w:rsidR="00E82F3D" w:rsidRPr="001B7DC2">
        <w:rPr>
          <w:rFonts w:cs="Arial"/>
        </w:rPr>
        <w:t xml:space="preserve">  </w:t>
      </w:r>
      <w:r w:rsidR="00C97986" w:rsidRPr="001B7DC2">
        <w:rPr>
          <w:rFonts w:cs="Arial"/>
        </w:rPr>
        <w:t xml:space="preserve">It does not follow that buying properties in countries with higher GDPs will </w:t>
      </w:r>
      <w:r w:rsidR="00C97986" w:rsidRPr="001B7DC2">
        <w:rPr>
          <w:rFonts w:cs="Arial"/>
        </w:rPr>
        <w:lastRenderedPageBreak/>
        <w:t>necessarily produce higher property returns. For example, the faster growth in rental income expected in a higher growth country may already be factored in the property valuations there.  If that growth rate is not sustained, then pr</w:t>
      </w:r>
      <w:r w:rsidR="00CE7BA2" w:rsidRPr="001B7DC2">
        <w:rPr>
          <w:rFonts w:cs="Arial"/>
        </w:rPr>
        <w:t>operty values might well suffer disproportionately.  The variability of returns emphasises the need to create a diversified portfolio of country returns with the opportunity to be over-weight in regions where property values are expected to grow the fastest.</w:t>
      </w:r>
    </w:p>
    <w:p w:rsidR="009F5436" w:rsidRPr="001B7DC2" w:rsidRDefault="00F3220F" w:rsidP="001B7DC2">
      <w:pPr>
        <w:ind w:left="720" w:hanging="720"/>
        <w:rPr>
          <w:rFonts w:cs="Arial"/>
        </w:rPr>
      </w:pPr>
      <w:r w:rsidRPr="001B7DC2">
        <w:rPr>
          <w:rFonts w:cs="Arial"/>
        </w:rPr>
        <w:t>2.14</w:t>
      </w:r>
      <w:r w:rsidRPr="001B7DC2">
        <w:rPr>
          <w:rFonts w:cs="Arial"/>
        </w:rPr>
        <w:tab/>
      </w:r>
      <w:r w:rsidR="004B0483" w:rsidRPr="001B7DC2">
        <w:rPr>
          <w:rFonts w:cs="Arial"/>
        </w:rPr>
        <w:t>In terms of price volatility, t</w:t>
      </w:r>
      <w:r w:rsidR="009F5436" w:rsidRPr="001B7DC2">
        <w:rPr>
          <w:rFonts w:cs="Arial"/>
        </w:rPr>
        <w:t>he UK Property market has shown the most volatility of any of the markets in terms of prices rising during the credit-fuelled boom of 2005 to 2007.  Other markets show less of a valuation bubble, with the German market not showing any bubble effect at all.</w:t>
      </w:r>
    </w:p>
    <w:p w:rsidR="009F5436" w:rsidRPr="001B7DC2" w:rsidRDefault="00F3220F" w:rsidP="001B7DC2">
      <w:pPr>
        <w:ind w:left="720" w:hanging="720"/>
        <w:rPr>
          <w:rFonts w:cs="Arial"/>
        </w:rPr>
      </w:pPr>
      <w:r w:rsidRPr="001B7DC2">
        <w:rPr>
          <w:rFonts w:cs="Arial"/>
        </w:rPr>
        <w:t>2.15</w:t>
      </w:r>
      <w:r w:rsidRPr="001B7DC2">
        <w:rPr>
          <w:rFonts w:cs="Arial"/>
        </w:rPr>
        <w:tab/>
      </w:r>
      <w:r w:rsidR="009F5436" w:rsidRPr="001B7DC2">
        <w:rPr>
          <w:rFonts w:cs="Arial"/>
        </w:rPr>
        <w:t xml:space="preserve">Property or Real Estate usually involves owning physical property directly or indirectly in the countries concerned.  Political and administrative stability and the rule of law are </w:t>
      </w:r>
      <w:r w:rsidR="00E82F3D" w:rsidRPr="001B7DC2">
        <w:rPr>
          <w:rFonts w:cs="Arial"/>
        </w:rPr>
        <w:t xml:space="preserve">therefore also </w:t>
      </w:r>
      <w:r w:rsidR="009F5436" w:rsidRPr="001B7DC2">
        <w:rPr>
          <w:rFonts w:cs="Arial"/>
        </w:rPr>
        <w:t>important considerations</w:t>
      </w:r>
      <w:r w:rsidR="00E82F3D" w:rsidRPr="001B7DC2">
        <w:rPr>
          <w:rFonts w:cs="Arial"/>
        </w:rPr>
        <w:t xml:space="preserve"> and u</w:t>
      </w:r>
      <w:r w:rsidR="009F5436" w:rsidRPr="001B7DC2">
        <w:rPr>
          <w:rFonts w:cs="Arial"/>
        </w:rPr>
        <w:t>nlike traded stocks, markets and pricing in the market can be very opaque.</w:t>
      </w:r>
    </w:p>
    <w:p w:rsidR="009F5436" w:rsidRPr="001B7DC2" w:rsidRDefault="00F3220F" w:rsidP="001B7DC2">
      <w:pPr>
        <w:ind w:left="720" w:hanging="720"/>
        <w:rPr>
          <w:rFonts w:cs="Arial"/>
        </w:rPr>
      </w:pPr>
      <w:r w:rsidRPr="001B7DC2">
        <w:rPr>
          <w:rFonts w:cs="Arial"/>
        </w:rPr>
        <w:t>2.16</w:t>
      </w:r>
      <w:r w:rsidRPr="001B7DC2">
        <w:rPr>
          <w:rFonts w:cs="Arial"/>
        </w:rPr>
        <w:tab/>
      </w:r>
      <w:r w:rsidR="009F5436" w:rsidRPr="001B7DC2">
        <w:rPr>
          <w:rFonts w:cs="Arial"/>
        </w:rPr>
        <w:t xml:space="preserve">Jones Lang </w:t>
      </w:r>
      <w:proofErr w:type="spellStart"/>
      <w:r w:rsidR="009F5436" w:rsidRPr="001B7DC2">
        <w:rPr>
          <w:rFonts w:cs="Arial"/>
        </w:rPr>
        <w:t>Lasalle</w:t>
      </w:r>
      <w:proofErr w:type="spellEnd"/>
      <w:r w:rsidR="009F5436" w:rsidRPr="001B7DC2">
        <w:rPr>
          <w:rFonts w:cs="Arial"/>
        </w:rPr>
        <w:t xml:space="preserve"> publish a detailed scoring of countries' transparency of their property markets based on ratings for performance measurement, market fundamental data, governance of listed vehicles, regulatory and legal processes, and transaction process.  Countries are banded as highly transparent, transparent, semi-transparent, low and opaque (See </w:t>
      </w:r>
      <w:r w:rsidR="00BE0B77" w:rsidRPr="001B7DC2">
        <w:rPr>
          <w:rFonts w:cs="Arial"/>
        </w:rPr>
        <w:t>A</w:t>
      </w:r>
      <w:r w:rsidR="00EF1C6E" w:rsidRPr="001B7DC2">
        <w:rPr>
          <w:rFonts w:cs="Arial"/>
        </w:rPr>
        <w:t>nnex</w:t>
      </w:r>
      <w:r w:rsidR="009F5436" w:rsidRPr="001B7DC2">
        <w:rPr>
          <w:rFonts w:cs="Arial"/>
        </w:rPr>
        <w:t xml:space="preserve"> </w:t>
      </w:r>
      <w:r w:rsidR="00044F08" w:rsidRPr="001B7DC2">
        <w:rPr>
          <w:rFonts w:cs="Arial"/>
        </w:rPr>
        <w:t>1</w:t>
      </w:r>
      <w:r w:rsidR="009F5436" w:rsidRPr="001B7DC2">
        <w:rPr>
          <w:rFonts w:cs="Arial"/>
        </w:rPr>
        <w:t>).</w:t>
      </w:r>
    </w:p>
    <w:p w:rsidR="009076E1" w:rsidRPr="001B7DC2" w:rsidRDefault="00F3220F" w:rsidP="001B7DC2">
      <w:pPr>
        <w:ind w:left="720" w:hanging="720"/>
        <w:rPr>
          <w:rFonts w:cs="Arial"/>
        </w:rPr>
      </w:pPr>
      <w:r w:rsidRPr="001B7DC2">
        <w:rPr>
          <w:rFonts w:cs="Arial"/>
        </w:rPr>
        <w:t>2.17</w:t>
      </w:r>
      <w:r w:rsidRPr="001B7DC2">
        <w:rPr>
          <w:rFonts w:cs="Arial"/>
        </w:rPr>
        <w:tab/>
      </w:r>
      <w:r w:rsidR="00E82F3D" w:rsidRPr="001B7DC2">
        <w:rPr>
          <w:rFonts w:cs="Arial"/>
        </w:rPr>
        <w:t>If a manager is looking to invest in property in</w:t>
      </w:r>
      <w:r w:rsidR="00D82621" w:rsidRPr="001B7DC2">
        <w:rPr>
          <w:rFonts w:cs="Arial"/>
        </w:rPr>
        <w:t>ternationally, transparency scoring is a tool that may be used to determine a universe of investible countries with acceptable political and administrative risk.</w:t>
      </w:r>
    </w:p>
    <w:p w:rsidR="009076E1" w:rsidRPr="001B7DC2" w:rsidRDefault="00F3220F" w:rsidP="001B7DC2">
      <w:pPr>
        <w:ind w:left="720" w:hanging="720"/>
        <w:rPr>
          <w:rFonts w:eastAsiaTheme="minorHAnsi" w:cs="Arial"/>
          <w:bCs/>
          <w:iCs/>
          <w:color w:val="auto"/>
        </w:rPr>
      </w:pPr>
      <w:r w:rsidRPr="001B7DC2">
        <w:rPr>
          <w:rFonts w:eastAsiaTheme="minorHAnsi" w:cs="Arial"/>
          <w:bCs/>
          <w:iCs/>
          <w:color w:val="auto"/>
        </w:rPr>
        <w:t>2.18</w:t>
      </w:r>
      <w:r w:rsidRPr="001B7DC2">
        <w:rPr>
          <w:rFonts w:eastAsiaTheme="minorHAnsi" w:cs="Arial"/>
          <w:bCs/>
          <w:iCs/>
          <w:color w:val="auto"/>
        </w:rPr>
        <w:tab/>
      </w:r>
      <w:r w:rsidR="009076E1" w:rsidRPr="001B7DC2">
        <w:rPr>
          <w:rFonts w:eastAsiaTheme="minorHAnsi" w:cs="Arial"/>
          <w:bCs/>
          <w:iCs/>
          <w:color w:val="auto"/>
        </w:rPr>
        <w:t>When considering property investment overseas, the tax position also need</w:t>
      </w:r>
      <w:r w:rsidR="003743DF" w:rsidRPr="001B7DC2">
        <w:rPr>
          <w:rFonts w:eastAsiaTheme="minorHAnsi" w:cs="Arial"/>
          <w:bCs/>
          <w:iCs/>
          <w:color w:val="auto"/>
        </w:rPr>
        <w:t>s</w:t>
      </w:r>
      <w:r w:rsidR="009076E1" w:rsidRPr="001B7DC2">
        <w:rPr>
          <w:rFonts w:eastAsiaTheme="minorHAnsi" w:cs="Arial"/>
          <w:bCs/>
          <w:iCs/>
          <w:color w:val="auto"/>
        </w:rPr>
        <w:t xml:space="preserve"> to be taken into account as it may be very different from the UK.  Property taxes differ between countries for all investors, for example, rates of stamp duty taxes.  With foreign ownership of property being a sensitive political issue, some countries impose irrecoverable withholding taxes and other levies on property income going to foreign investors (e.g. the US FIRPTA tax rules and Australian capital gains tax on property).  These taxes would not be incurred on an equivalent investment in the UK, so a balance must be struck between the benefits of diversification and additional costs involved.   </w:t>
      </w:r>
    </w:p>
    <w:p w:rsidR="00F6157C" w:rsidRPr="001B7DC2" w:rsidRDefault="00F3220F" w:rsidP="001B7DC2">
      <w:pPr>
        <w:ind w:left="720" w:hanging="720"/>
        <w:rPr>
          <w:rFonts w:cs="Arial"/>
        </w:rPr>
      </w:pPr>
      <w:r w:rsidRPr="001B7DC2">
        <w:rPr>
          <w:rFonts w:cs="Arial"/>
        </w:rPr>
        <w:t>2.19</w:t>
      </w:r>
      <w:r w:rsidRPr="001B7DC2">
        <w:rPr>
          <w:rFonts w:cs="Arial"/>
        </w:rPr>
        <w:tab/>
      </w:r>
      <w:r w:rsidR="00EF1C6E" w:rsidRPr="001B7DC2">
        <w:rPr>
          <w:rFonts w:cs="Arial"/>
        </w:rPr>
        <w:t xml:space="preserve">Investing </w:t>
      </w:r>
      <w:r w:rsidR="00F6157C" w:rsidRPr="001B7DC2">
        <w:rPr>
          <w:rFonts w:cs="Arial"/>
        </w:rPr>
        <w:t xml:space="preserve">outside the UK in property just as for all other investment classes involves taking currency risk as the assets will be denominated in local currencies.  This paper assumes that currency risks will be appraised and managed on a Fund-wide basis, not separately for the property portfolio. </w:t>
      </w:r>
    </w:p>
    <w:p w:rsidR="00084733" w:rsidRPr="001B7DC2" w:rsidRDefault="00084733" w:rsidP="001B7DC2">
      <w:pPr>
        <w:rPr>
          <w:rFonts w:cs="Arial"/>
          <w:u w:val="single"/>
        </w:rPr>
      </w:pPr>
      <w:r w:rsidRPr="001B7DC2">
        <w:rPr>
          <w:rFonts w:cs="Arial"/>
          <w:u w:val="single"/>
        </w:rPr>
        <w:t>Property investment structures</w:t>
      </w:r>
    </w:p>
    <w:p w:rsidR="009F5436" w:rsidRPr="001B7DC2" w:rsidRDefault="00F3220F" w:rsidP="001B7DC2">
      <w:pPr>
        <w:ind w:left="720" w:hanging="720"/>
        <w:rPr>
          <w:rFonts w:cs="Arial"/>
        </w:rPr>
      </w:pPr>
      <w:r w:rsidRPr="001B7DC2">
        <w:rPr>
          <w:rFonts w:cs="Arial"/>
        </w:rPr>
        <w:t>2.20</w:t>
      </w:r>
      <w:r w:rsidRPr="001B7DC2">
        <w:rPr>
          <w:rFonts w:cs="Arial"/>
        </w:rPr>
        <w:tab/>
      </w:r>
      <w:r w:rsidR="009F5436" w:rsidRPr="001B7DC2">
        <w:rPr>
          <w:rFonts w:cs="Arial"/>
        </w:rPr>
        <w:t>Property investment and divestment is expensive.  Acquisition costs are typically up to 5% of the cost of a property and selling costs can be 2%, so it is not an investment class to be traded into and out of in the short term.</w:t>
      </w:r>
    </w:p>
    <w:p w:rsidR="009B25A1" w:rsidRPr="001B7DC2" w:rsidRDefault="00F3220F" w:rsidP="001B7DC2">
      <w:pPr>
        <w:ind w:left="720" w:hanging="720"/>
        <w:rPr>
          <w:rFonts w:cs="Arial"/>
        </w:rPr>
      </w:pPr>
      <w:r w:rsidRPr="001B7DC2">
        <w:rPr>
          <w:rFonts w:cs="Arial"/>
        </w:rPr>
        <w:t>2.21</w:t>
      </w:r>
      <w:r w:rsidRPr="001B7DC2">
        <w:rPr>
          <w:rFonts w:cs="Arial"/>
        </w:rPr>
        <w:tab/>
      </w:r>
      <w:r w:rsidR="009B25A1" w:rsidRPr="001B7DC2">
        <w:rPr>
          <w:rFonts w:cs="Arial"/>
        </w:rPr>
        <w:t xml:space="preserve">As with quoted equities, property can be held directly or indirectly.  Unlike equities, given the size of the individual lot, direct ownership of property is only really open to larger investors, such as the Fund. </w:t>
      </w:r>
    </w:p>
    <w:p w:rsidR="009B25A1" w:rsidRPr="001B7DC2" w:rsidRDefault="00F3220F" w:rsidP="001B7DC2">
      <w:pPr>
        <w:ind w:left="720" w:hanging="720"/>
        <w:rPr>
          <w:rFonts w:cs="Arial"/>
          <w:b/>
        </w:rPr>
      </w:pPr>
      <w:r w:rsidRPr="001B7DC2">
        <w:rPr>
          <w:rFonts w:cs="Arial"/>
        </w:rPr>
        <w:lastRenderedPageBreak/>
        <w:t>2.22</w:t>
      </w:r>
      <w:r w:rsidRPr="001B7DC2">
        <w:rPr>
          <w:rFonts w:cs="Arial"/>
        </w:rPr>
        <w:tab/>
      </w:r>
      <w:r w:rsidR="009B25A1" w:rsidRPr="001B7DC2">
        <w:rPr>
          <w:rFonts w:cs="Arial"/>
        </w:rPr>
        <w:t>Indirect exposure to property can be through private funds or listed vehicles.</w:t>
      </w:r>
      <w:r w:rsidR="009B25A1" w:rsidRPr="001B7DC2">
        <w:rPr>
          <w:rFonts w:cs="Arial"/>
          <w:b/>
        </w:rPr>
        <w:t xml:space="preserve">  </w:t>
      </w:r>
      <w:r w:rsidR="009B25A1" w:rsidRPr="001B7DC2">
        <w:rPr>
          <w:rFonts w:cs="Arial"/>
        </w:rPr>
        <w:t xml:space="preserve">Private funds can be open-ended or closed with a pre-determined life span and are valued according to the net asset value </w:t>
      </w:r>
      <w:r w:rsidR="00EA618E" w:rsidRPr="001B7DC2">
        <w:rPr>
          <w:rFonts w:cs="Arial"/>
        </w:rPr>
        <w:t xml:space="preserve">(NAV) </w:t>
      </w:r>
      <w:r w:rsidR="009B25A1" w:rsidRPr="001B7DC2">
        <w:rPr>
          <w:rFonts w:cs="Arial"/>
        </w:rPr>
        <w:t>of their properties.  The value of listed vehicles is determined by the market so while correlated with the net asset value, it is subject to another level of volatility reflecting investor sentiment at the time to the market, to property in general and to the company particular.</w:t>
      </w:r>
      <w:r w:rsidR="009B25A1" w:rsidRPr="001B7DC2">
        <w:rPr>
          <w:rFonts w:cs="Arial"/>
          <w:b/>
        </w:rPr>
        <w:t xml:space="preserve">  </w:t>
      </w:r>
    </w:p>
    <w:p w:rsidR="00544812" w:rsidRPr="001B7DC2" w:rsidRDefault="00F3220F" w:rsidP="001B7DC2">
      <w:pPr>
        <w:ind w:left="720" w:hanging="720"/>
        <w:rPr>
          <w:rFonts w:cs="Arial"/>
        </w:rPr>
      </w:pPr>
      <w:r w:rsidRPr="001B7DC2">
        <w:rPr>
          <w:rFonts w:cs="Arial"/>
        </w:rPr>
        <w:t>2.23</w:t>
      </w:r>
      <w:r w:rsidRPr="001B7DC2">
        <w:rPr>
          <w:rFonts w:cs="Arial"/>
        </w:rPr>
        <w:tab/>
      </w:r>
      <w:r w:rsidR="00544812" w:rsidRPr="001B7DC2">
        <w:rPr>
          <w:rFonts w:cs="Arial"/>
        </w:rPr>
        <w:t xml:space="preserve">Direct and indirect investment routes both have a place in a portfolio of property assets depending on circumstances.  The following table sets out some of the factors to take into account when deciding on the route to follow: </w:t>
      </w:r>
    </w:p>
    <w:tbl>
      <w:tblPr>
        <w:tblStyle w:val="TableGrid"/>
        <w:tblW w:w="0" w:type="auto"/>
        <w:tblLook w:val="04A0"/>
      </w:tblPr>
      <w:tblGrid>
        <w:gridCol w:w="4621"/>
        <w:gridCol w:w="4621"/>
      </w:tblGrid>
      <w:tr w:rsidR="009B25A1" w:rsidRPr="001B7DC2" w:rsidTr="00935F3C">
        <w:tc>
          <w:tcPr>
            <w:tcW w:w="4621" w:type="dxa"/>
          </w:tcPr>
          <w:p w:rsidR="009B25A1" w:rsidRPr="001B7DC2" w:rsidRDefault="009B25A1" w:rsidP="001B7DC2">
            <w:pPr>
              <w:rPr>
                <w:rFonts w:cs="Arial"/>
                <w:b/>
              </w:rPr>
            </w:pPr>
            <w:r w:rsidRPr="001B7DC2">
              <w:rPr>
                <w:rFonts w:cs="Arial"/>
                <w:b/>
              </w:rPr>
              <w:t>Direct</w:t>
            </w:r>
            <w:r w:rsidR="00544812" w:rsidRPr="001B7DC2">
              <w:rPr>
                <w:rFonts w:cs="Arial"/>
                <w:b/>
              </w:rPr>
              <w:t xml:space="preserve"> investment</w:t>
            </w:r>
          </w:p>
        </w:tc>
        <w:tc>
          <w:tcPr>
            <w:tcW w:w="4621" w:type="dxa"/>
          </w:tcPr>
          <w:p w:rsidR="009B25A1" w:rsidRPr="001B7DC2" w:rsidRDefault="009B25A1" w:rsidP="001B7DC2">
            <w:pPr>
              <w:rPr>
                <w:rFonts w:cs="Arial"/>
                <w:b/>
              </w:rPr>
            </w:pPr>
          </w:p>
        </w:tc>
      </w:tr>
      <w:tr w:rsidR="009B25A1" w:rsidRPr="001B7DC2" w:rsidTr="00935F3C">
        <w:tc>
          <w:tcPr>
            <w:tcW w:w="4621" w:type="dxa"/>
          </w:tcPr>
          <w:p w:rsidR="009B25A1" w:rsidRPr="001B7DC2" w:rsidRDefault="00544812" w:rsidP="001B7DC2">
            <w:pPr>
              <w:rPr>
                <w:rFonts w:cs="Arial"/>
                <w:b/>
              </w:rPr>
            </w:pPr>
            <w:r w:rsidRPr="001B7DC2">
              <w:rPr>
                <w:rFonts w:cs="Arial"/>
                <w:b/>
              </w:rPr>
              <w:t>Advantages</w:t>
            </w:r>
          </w:p>
        </w:tc>
        <w:tc>
          <w:tcPr>
            <w:tcW w:w="4621" w:type="dxa"/>
          </w:tcPr>
          <w:p w:rsidR="009B25A1" w:rsidRPr="001B7DC2" w:rsidRDefault="00544812" w:rsidP="001B7DC2">
            <w:pPr>
              <w:rPr>
                <w:rFonts w:cs="Arial"/>
                <w:b/>
              </w:rPr>
            </w:pPr>
            <w:r w:rsidRPr="001B7DC2">
              <w:rPr>
                <w:rFonts w:cs="Arial"/>
                <w:b/>
              </w:rPr>
              <w:t>Disadvantages</w:t>
            </w:r>
          </w:p>
        </w:tc>
      </w:tr>
      <w:tr w:rsidR="009B25A1" w:rsidRPr="001B7DC2" w:rsidTr="00935F3C">
        <w:tc>
          <w:tcPr>
            <w:tcW w:w="4621" w:type="dxa"/>
          </w:tcPr>
          <w:p w:rsidR="009B25A1" w:rsidRPr="001B7DC2" w:rsidRDefault="009B25A1" w:rsidP="001B7DC2">
            <w:pPr>
              <w:rPr>
                <w:rFonts w:cs="Arial"/>
              </w:rPr>
            </w:pPr>
            <w:r w:rsidRPr="001B7DC2">
              <w:rPr>
                <w:rFonts w:cs="Arial"/>
              </w:rPr>
              <w:t>Control, over acquisitions, disposals, management initiatives, risk profile, gearing.</w:t>
            </w:r>
          </w:p>
          <w:p w:rsidR="009B25A1" w:rsidRPr="001B7DC2" w:rsidRDefault="009B25A1" w:rsidP="001B7DC2">
            <w:pPr>
              <w:rPr>
                <w:rFonts w:cs="Arial"/>
              </w:rPr>
            </w:pPr>
          </w:p>
          <w:p w:rsidR="009B25A1" w:rsidRPr="001B7DC2" w:rsidRDefault="009B25A1" w:rsidP="001B7DC2">
            <w:pPr>
              <w:rPr>
                <w:rFonts w:cs="Arial"/>
              </w:rPr>
            </w:pPr>
            <w:r w:rsidRPr="001B7DC2">
              <w:rPr>
                <w:rFonts w:cs="Arial"/>
              </w:rPr>
              <w:t>Cost effective and tax efficient (management costs less than 0.5%</w:t>
            </w:r>
            <w:r w:rsidR="00EA618E" w:rsidRPr="001B7DC2">
              <w:rPr>
                <w:rFonts w:cs="Arial"/>
              </w:rPr>
              <w:t xml:space="preserve"> per year</w:t>
            </w:r>
            <w:r w:rsidRPr="001B7DC2">
              <w:rPr>
                <w:rFonts w:cs="Arial"/>
              </w:rPr>
              <w:t>)</w:t>
            </w:r>
          </w:p>
          <w:p w:rsidR="009B25A1" w:rsidRPr="001B7DC2" w:rsidRDefault="009B25A1" w:rsidP="001B7DC2">
            <w:pPr>
              <w:rPr>
                <w:rFonts w:cs="Arial"/>
                <w:b/>
              </w:rPr>
            </w:pPr>
          </w:p>
          <w:p w:rsidR="009B25A1" w:rsidRPr="001B7DC2" w:rsidRDefault="009B25A1" w:rsidP="001B7DC2">
            <w:pPr>
              <w:rPr>
                <w:rFonts w:cs="Arial"/>
                <w:b/>
              </w:rPr>
            </w:pPr>
          </w:p>
          <w:p w:rsidR="009B25A1" w:rsidRPr="001B7DC2" w:rsidRDefault="009B25A1" w:rsidP="001B7DC2">
            <w:pPr>
              <w:rPr>
                <w:rFonts w:cs="Arial"/>
                <w:b/>
              </w:rPr>
            </w:pPr>
          </w:p>
        </w:tc>
        <w:tc>
          <w:tcPr>
            <w:tcW w:w="4621" w:type="dxa"/>
          </w:tcPr>
          <w:p w:rsidR="009B25A1" w:rsidRPr="001B7DC2" w:rsidRDefault="009B25A1" w:rsidP="001B7DC2">
            <w:pPr>
              <w:rPr>
                <w:rFonts w:cs="Arial"/>
              </w:rPr>
            </w:pPr>
            <w:r w:rsidRPr="001B7DC2">
              <w:rPr>
                <w:rFonts w:cs="Arial"/>
              </w:rPr>
              <w:t>Requires more in-house management</w:t>
            </w:r>
          </w:p>
          <w:p w:rsidR="009B25A1" w:rsidRPr="001B7DC2" w:rsidRDefault="009B25A1" w:rsidP="001B7DC2">
            <w:pPr>
              <w:rPr>
                <w:rFonts w:cs="Arial"/>
              </w:rPr>
            </w:pPr>
          </w:p>
          <w:p w:rsidR="009B25A1" w:rsidRPr="001B7DC2" w:rsidRDefault="009B25A1" w:rsidP="001B7DC2">
            <w:pPr>
              <w:rPr>
                <w:rFonts w:cs="Arial"/>
              </w:rPr>
            </w:pPr>
            <w:r w:rsidRPr="001B7DC2">
              <w:rPr>
                <w:rFonts w:cs="Arial"/>
              </w:rPr>
              <w:t>Requires scale to achieve acceptable diversification.</w:t>
            </w:r>
          </w:p>
          <w:p w:rsidR="009B25A1" w:rsidRPr="001B7DC2" w:rsidRDefault="009B25A1" w:rsidP="001B7DC2">
            <w:pPr>
              <w:rPr>
                <w:rFonts w:cs="Arial"/>
              </w:rPr>
            </w:pPr>
          </w:p>
          <w:p w:rsidR="009B25A1" w:rsidRPr="001B7DC2" w:rsidRDefault="009B25A1" w:rsidP="001B7DC2">
            <w:pPr>
              <w:rPr>
                <w:rFonts w:cs="Arial"/>
              </w:rPr>
            </w:pPr>
            <w:r w:rsidRPr="001B7DC2">
              <w:rPr>
                <w:rFonts w:cs="Arial"/>
              </w:rPr>
              <w:t>Need to source and appoint professional advisers directly.</w:t>
            </w:r>
          </w:p>
          <w:p w:rsidR="009B25A1" w:rsidRPr="001B7DC2" w:rsidRDefault="009B25A1" w:rsidP="001B7DC2">
            <w:pPr>
              <w:rPr>
                <w:rFonts w:cs="Arial"/>
              </w:rPr>
            </w:pPr>
          </w:p>
          <w:p w:rsidR="009B25A1" w:rsidRPr="001B7DC2" w:rsidRDefault="009B25A1" w:rsidP="001B7DC2">
            <w:pPr>
              <w:rPr>
                <w:rFonts w:cs="Arial"/>
                <w:b/>
              </w:rPr>
            </w:pPr>
            <w:r w:rsidRPr="001B7DC2">
              <w:rPr>
                <w:rFonts w:cs="Arial"/>
              </w:rPr>
              <w:t>May require establishing own foreign holding company structures.</w:t>
            </w:r>
          </w:p>
        </w:tc>
      </w:tr>
      <w:tr w:rsidR="009B25A1" w:rsidRPr="001B7DC2" w:rsidTr="00935F3C">
        <w:tc>
          <w:tcPr>
            <w:tcW w:w="4621" w:type="dxa"/>
          </w:tcPr>
          <w:p w:rsidR="009B25A1" w:rsidRPr="001B7DC2" w:rsidRDefault="0030037C" w:rsidP="001B7DC2">
            <w:pPr>
              <w:rPr>
                <w:rFonts w:cs="Arial"/>
                <w:b/>
              </w:rPr>
            </w:pPr>
            <w:r w:rsidRPr="001B7DC2">
              <w:rPr>
                <w:rFonts w:cs="Arial"/>
              </w:rPr>
              <w:br w:type="page"/>
            </w:r>
            <w:r w:rsidR="009B25A1" w:rsidRPr="001B7DC2">
              <w:rPr>
                <w:rFonts w:cs="Arial"/>
                <w:b/>
              </w:rPr>
              <w:t>Indirect</w:t>
            </w:r>
            <w:r w:rsidR="00544812" w:rsidRPr="001B7DC2">
              <w:rPr>
                <w:rFonts w:cs="Arial"/>
                <w:b/>
              </w:rPr>
              <w:t xml:space="preserve"> investment</w:t>
            </w:r>
          </w:p>
        </w:tc>
        <w:tc>
          <w:tcPr>
            <w:tcW w:w="4621" w:type="dxa"/>
          </w:tcPr>
          <w:p w:rsidR="009B25A1" w:rsidRPr="001B7DC2" w:rsidRDefault="009B25A1" w:rsidP="001B7DC2">
            <w:pPr>
              <w:rPr>
                <w:rFonts w:cs="Arial"/>
                <w:b/>
              </w:rPr>
            </w:pPr>
          </w:p>
        </w:tc>
      </w:tr>
      <w:tr w:rsidR="009B25A1" w:rsidRPr="001B7DC2" w:rsidTr="00935F3C">
        <w:tc>
          <w:tcPr>
            <w:tcW w:w="4621" w:type="dxa"/>
          </w:tcPr>
          <w:p w:rsidR="009B25A1" w:rsidRPr="001B7DC2" w:rsidRDefault="00544812" w:rsidP="001B7DC2">
            <w:pPr>
              <w:rPr>
                <w:rFonts w:cs="Arial"/>
                <w:b/>
              </w:rPr>
            </w:pPr>
            <w:r w:rsidRPr="001B7DC2">
              <w:rPr>
                <w:rFonts w:cs="Arial"/>
                <w:b/>
              </w:rPr>
              <w:t>Advantages</w:t>
            </w:r>
          </w:p>
        </w:tc>
        <w:tc>
          <w:tcPr>
            <w:tcW w:w="4621" w:type="dxa"/>
          </w:tcPr>
          <w:p w:rsidR="009B25A1" w:rsidRPr="001B7DC2" w:rsidRDefault="00544812" w:rsidP="001B7DC2">
            <w:pPr>
              <w:rPr>
                <w:rFonts w:cs="Arial"/>
                <w:b/>
              </w:rPr>
            </w:pPr>
            <w:r w:rsidRPr="001B7DC2">
              <w:rPr>
                <w:rFonts w:cs="Arial"/>
                <w:b/>
              </w:rPr>
              <w:t>Disadvantages</w:t>
            </w:r>
          </w:p>
        </w:tc>
      </w:tr>
      <w:tr w:rsidR="009B25A1" w:rsidRPr="001B7DC2" w:rsidTr="00935F3C">
        <w:tc>
          <w:tcPr>
            <w:tcW w:w="4621" w:type="dxa"/>
          </w:tcPr>
          <w:p w:rsidR="009B25A1" w:rsidRPr="001B7DC2" w:rsidRDefault="009B25A1" w:rsidP="001B7DC2">
            <w:pPr>
              <w:autoSpaceDE w:val="0"/>
              <w:autoSpaceDN w:val="0"/>
              <w:adjustRightInd w:val="0"/>
              <w:rPr>
                <w:rFonts w:eastAsiaTheme="minorHAnsi" w:cs="Arial"/>
              </w:rPr>
            </w:pPr>
            <w:r w:rsidRPr="001B7DC2">
              <w:rPr>
                <w:rFonts w:eastAsiaTheme="minorHAnsi" w:cs="Arial"/>
              </w:rPr>
              <w:t>Buying into existing portfolio (open ended or secondary acquisition of closed fund).  Brings quick allocation to countries/markets selected, diversification of</w:t>
            </w:r>
            <w:r w:rsidR="00521E5C" w:rsidRPr="001B7DC2">
              <w:rPr>
                <w:rFonts w:eastAsiaTheme="minorHAnsi" w:cs="Arial"/>
              </w:rPr>
              <w:t xml:space="preserve"> buildings and tenant covenants, possible acquired at a discount to net asset value.</w:t>
            </w:r>
          </w:p>
          <w:p w:rsidR="009B25A1" w:rsidRPr="001B7DC2" w:rsidRDefault="009B25A1" w:rsidP="001B7DC2">
            <w:pPr>
              <w:autoSpaceDE w:val="0"/>
              <w:autoSpaceDN w:val="0"/>
              <w:adjustRightInd w:val="0"/>
              <w:rPr>
                <w:rFonts w:eastAsiaTheme="minorHAnsi" w:cs="Arial"/>
              </w:rPr>
            </w:pPr>
          </w:p>
          <w:p w:rsidR="009B25A1" w:rsidRPr="001B7DC2" w:rsidRDefault="009B25A1" w:rsidP="001B7DC2">
            <w:pPr>
              <w:autoSpaceDE w:val="0"/>
              <w:autoSpaceDN w:val="0"/>
              <w:adjustRightInd w:val="0"/>
              <w:rPr>
                <w:rFonts w:eastAsiaTheme="minorHAnsi" w:cs="Arial"/>
              </w:rPr>
            </w:pPr>
            <w:r w:rsidRPr="001B7DC2">
              <w:rPr>
                <w:rFonts w:eastAsiaTheme="minorHAnsi" w:cs="Arial"/>
              </w:rPr>
              <w:t>Expertise and professional resources of fund manager.</w:t>
            </w:r>
          </w:p>
          <w:p w:rsidR="009B25A1" w:rsidRPr="001B7DC2" w:rsidRDefault="009B25A1" w:rsidP="001B7DC2">
            <w:pPr>
              <w:autoSpaceDE w:val="0"/>
              <w:autoSpaceDN w:val="0"/>
              <w:adjustRightInd w:val="0"/>
              <w:rPr>
                <w:rFonts w:eastAsiaTheme="minorHAnsi" w:cs="Arial"/>
              </w:rPr>
            </w:pPr>
          </w:p>
          <w:p w:rsidR="009B25A1" w:rsidRPr="001B7DC2" w:rsidRDefault="009B25A1" w:rsidP="001B7DC2">
            <w:pPr>
              <w:autoSpaceDE w:val="0"/>
              <w:autoSpaceDN w:val="0"/>
              <w:adjustRightInd w:val="0"/>
              <w:rPr>
                <w:rFonts w:eastAsiaTheme="minorHAnsi" w:cs="Arial"/>
              </w:rPr>
            </w:pPr>
            <w:r w:rsidRPr="001B7DC2">
              <w:rPr>
                <w:rFonts w:eastAsiaTheme="minorHAnsi" w:cs="Arial"/>
              </w:rPr>
              <w:t>Greater diversification of buildings and tenants.</w:t>
            </w:r>
          </w:p>
          <w:p w:rsidR="009B25A1" w:rsidRPr="001B7DC2" w:rsidRDefault="009B25A1" w:rsidP="001B7DC2">
            <w:pPr>
              <w:autoSpaceDE w:val="0"/>
              <w:autoSpaceDN w:val="0"/>
              <w:adjustRightInd w:val="0"/>
              <w:rPr>
                <w:rFonts w:eastAsiaTheme="minorHAnsi" w:cs="Arial"/>
              </w:rPr>
            </w:pPr>
          </w:p>
          <w:p w:rsidR="009B25A1" w:rsidRPr="001B7DC2" w:rsidRDefault="009B25A1" w:rsidP="001B7DC2">
            <w:pPr>
              <w:autoSpaceDE w:val="0"/>
              <w:autoSpaceDN w:val="0"/>
              <w:adjustRightInd w:val="0"/>
              <w:rPr>
                <w:rFonts w:eastAsiaTheme="minorHAnsi" w:cs="Arial"/>
              </w:rPr>
            </w:pPr>
            <w:r w:rsidRPr="001B7DC2">
              <w:rPr>
                <w:rFonts w:eastAsiaTheme="minorHAnsi" w:cs="Arial"/>
              </w:rPr>
              <w:t>Little in-house management burden</w:t>
            </w:r>
          </w:p>
          <w:p w:rsidR="009B25A1" w:rsidRPr="001B7DC2" w:rsidRDefault="009B25A1" w:rsidP="001B7DC2">
            <w:pPr>
              <w:autoSpaceDE w:val="0"/>
              <w:autoSpaceDN w:val="0"/>
              <w:adjustRightInd w:val="0"/>
              <w:rPr>
                <w:rFonts w:eastAsiaTheme="minorHAnsi" w:cs="Arial"/>
              </w:rPr>
            </w:pPr>
          </w:p>
          <w:p w:rsidR="009B25A1" w:rsidRPr="001B7DC2" w:rsidRDefault="009B25A1" w:rsidP="001B7DC2">
            <w:pPr>
              <w:autoSpaceDE w:val="0"/>
              <w:autoSpaceDN w:val="0"/>
              <w:adjustRightInd w:val="0"/>
              <w:rPr>
                <w:rFonts w:eastAsiaTheme="minorHAnsi" w:cs="Arial"/>
              </w:rPr>
            </w:pPr>
            <w:r w:rsidRPr="001B7DC2">
              <w:rPr>
                <w:rFonts w:eastAsiaTheme="minorHAnsi" w:cs="Arial"/>
              </w:rPr>
              <w:t>Can commit smaller sums</w:t>
            </w:r>
          </w:p>
          <w:p w:rsidR="009B25A1" w:rsidRPr="001B7DC2" w:rsidRDefault="009B25A1" w:rsidP="001B7DC2">
            <w:pPr>
              <w:autoSpaceDE w:val="0"/>
              <w:autoSpaceDN w:val="0"/>
              <w:adjustRightInd w:val="0"/>
              <w:rPr>
                <w:rFonts w:eastAsiaTheme="minorHAnsi" w:cs="Arial"/>
              </w:rPr>
            </w:pPr>
          </w:p>
          <w:p w:rsidR="009B25A1" w:rsidRPr="001B7DC2" w:rsidRDefault="009B25A1" w:rsidP="001B7DC2">
            <w:pPr>
              <w:rPr>
                <w:rFonts w:cs="Arial"/>
                <w:b/>
              </w:rPr>
            </w:pPr>
          </w:p>
        </w:tc>
        <w:tc>
          <w:tcPr>
            <w:tcW w:w="4621" w:type="dxa"/>
          </w:tcPr>
          <w:p w:rsidR="009B25A1" w:rsidRPr="001B7DC2" w:rsidRDefault="009B25A1" w:rsidP="001B7DC2">
            <w:pPr>
              <w:rPr>
                <w:rFonts w:cs="Arial"/>
              </w:rPr>
            </w:pPr>
            <w:r w:rsidRPr="001B7DC2">
              <w:rPr>
                <w:rFonts w:cs="Arial"/>
              </w:rPr>
              <w:t xml:space="preserve">Existing portfolios may have legacy issues, e.g. potentially onerous covenants agreed when competing to purchase. </w:t>
            </w:r>
          </w:p>
          <w:p w:rsidR="009B25A1" w:rsidRPr="001B7DC2" w:rsidRDefault="009B25A1" w:rsidP="001B7DC2">
            <w:pPr>
              <w:rPr>
                <w:rFonts w:cs="Arial"/>
              </w:rPr>
            </w:pPr>
          </w:p>
          <w:p w:rsidR="009B25A1" w:rsidRPr="001B7DC2" w:rsidRDefault="009B25A1" w:rsidP="001B7DC2">
            <w:pPr>
              <w:rPr>
                <w:rFonts w:cs="Arial"/>
              </w:rPr>
            </w:pPr>
            <w:proofErr w:type="gramStart"/>
            <w:r w:rsidRPr="001B7DC2">
              <w:rPr>
                <w:rFonts w:cs="Arial"/>
              </w:rPr>
              <w:t>Lack of liquidity, closed end funds are</w:t>
            </w:r>
            <w:proofErr w:type="gramEnd"/>
            <w:r w:rsidRPr="001B7DC2">
              <w:rPr>
                <w:rFonts w:cs="Arial"/>
              </w:rPr>
              <w:t xml:space="preserve"> illiquid for life of fund (</w:t>
            </w:r>
            <w:proofErr w:type="spellStart"/>
            <w:r w:rsidRPr="001B7DC2">
              <w:rPr>
                <w:rFonts w:cs="Arial"/>
              </w:rPr>
              <w:t>upto</w:t>
            </w:r>
            <w:proofErr w:type="spellEnd"/>
            <w:r w:rsidRPr="001B7DC2">
              <w:rPr>
                <w:rFonts w:cs="Arial"/>
              </w:rPr>
              <w:t xml:space="preserve"> 10 yrs) exce</w:t>
            </w:r>
            <w:r w:rsidR="00EA618E" w:rsidRPr="001B7DC2">
              <w:rPr>
                <w:rFonts w:cs="Arial"/>
              </w:rPr>
              <w:t>pt as a secondary sale (often only possible at a discount to NAV</w:t>
            </w:r>
            <w:r w:rsidRPr="001B7DC2">
              <w:rPr>
                <w:rFonts w:cs="Arial"/>
              </w:rPr>
              <w:t>.  Open ended funds can be locked up, redemptions can take years.</w:t>
            </w:r>
          </w:p>
          <w:p w:rsidR="009B25A1" w:rsidRPr="001B7DC2" w:rsidRDefault="009B25A1" w:rsidP="001B7DC2">
            <w:pPr>
              <w:rPr>
                <w:rFonts w:cs="Arial"/>
              </w:rPr>
            </w:pPr>
          </w:p>
          <w:p w:rsidR="009B25A1" w:rsidRPr="001B7DC2" w:rsidRDefault="009B25A1" w:rsidP="001B7DC2">
            <w:pPr>
              <w:rPr>
                <w:rFonts w:cs="Arial"/>
                <w:b/>
              </w:rPr>
            </w:pPr>
            <w:r w:rsidRPr="001B7DC2">
              <w:rPr>
                <w:rFonts w:cs="Arial"/>
              </w:rPr>
              <w:t>Lack of control.</w:t>
            </w:r>
          </w:p>
          <w:p w:rsidR="009B25A1" w:rsidRPr="001B7DC2" w:rsidRDefault="009B25A1" w:rsidP="001B7DC2">
            <w:pPr>
              <w:rPr>
                <w:rFonts w:cs="Arial"/>
              </w:rPr>
            </w:pPr>
          </w:p>
          <w:p w:rsidR="009B25A1" w:rsidRPr="001B7DC2" w:rsidRDefault="009B25A1" w:rsidP="001B7DC2">
            <w:pPr>
              <w:rPr>
                <w:rFonts w:cs="Arial"/>
              </w:rPr>
            </w:pPr>
            <w:r w:rsidRPr="001B7DC2">
              <w:rPr>
                <w:rFonts w:cs="Arial"/>
              </w:rPr>
              <w:t>Possible lack of alignment of interests of different investors.</w:t>
            </w:r>
          </w:p>
          <w:p w:rsidR="009B25A1" w:rsidRPr="001B7DC2" w:rsidRDefault="009B25A1" w:rsidP="001B7DC2">
            <w:pPr>
              <w:rPr>
                <w:rFonts w:cs="Arial"/>
              </w:rPr>
            </w:pPr>
          </w:p>
          <w:p w:rsidR="009B25A1" w:rsidRPr="001B7DC2" w:rsidRDefault="009B25A1" w:rsidP="001B7DC2">
            <w:pPr>
              <w:rPr>
                <w:rFonts w:cs="Arial"/>
              </w:rPr>
            </w:pPr>
            <w:r w:rsidRPr="001B7DC2">
              <w:rPr>
                <w:rFonts w:cs="Arial"/>
              </w:rPr>
              <w:t>Funds flows drive timing of acquisitions and disposals.  Pressure from investors to get commitments invested.  Most saleable (i.e. attractive) assets may be sold to meet redemptions.</w:t>
            </w:r>
          </w:p>
          <w:p w:rsidR="009B25A1" w:rsidRPr="001B7DC2" w:rsidRDefault="009B25A1" w:rsidP="001B7DC2">
            <w:pPr>
              <w:rPr>
                <w:rFonts w:cs="Arial"/>
              </w:rPr>
            </w:pPr>
          </w:p>
          <w:p w:rsidR="009B25A1" w:rsidRPr="001B7DC2" w:rsidRDefault="009B25A1" w:rsidP="001B7DC2">
            <w:pPr>
              <w:rPr>
                <w:rFonts w:cs="Arial"/>
              </w:rPr>
            </w:pPr>
            <w:r w:rsidRPr="001B7DC2">
              <w:rPr>
                <w:rFonts w:cs="Arial"/>
              </w:rPr>
              <w:t xml:space="preserve">Closed end funds need to dispose of </w:t>
            </w:r>
            <w:r w:rsidRPr="001B7DC2">
              <w:rPr>
                <w:rFonts w:cs="Arial"/>
              </w:rPr>
              <w:lastRenderedPageBreak/>
              <w:t>properties in a fixed window in time.</w:t>
            </w:r>
          </w:p>
          <w:p w:rsidR="009B25A1" w:rsidRPr="001B7DC2" w:rsidRDefault="009B25A1" w:rsidP="001B7DC2">
            <w:pPr>
              <w:rPr>
                <w:rFonts w:cs="Arial"/>
              </w:rPr>
            </w:pPr>
          </w:p>
          <w:p w:rsidR="009B25A1" w:rsidRPr="001B7DC2" w:rsidRDefault="009B25A1" w:rsidP="001B7DC2">
            <w:pPr>
              <w:rPr>
                <w:rFonts w:cs="Arial"/>
              </w:rPr>
            </w:pPr>
            <w:r w:rsidRPr="001B7DC2">
              <w:rPr>
                <w:rFonts w:cs="Arial"/>
              </w:rPr>
              <w:t>Costs, higher management costs and less tax efficient (management costs in range 1% to 2.5%</w:t>
            </w:r>
            <w:r w:rsidR="004E77FF" w:rsidRPr="001B7DC2">
              <w:rPr>
                <w:rFonts w:cs="Arial"/>
              </w:rPr>
              <w:t xml:space="preserve"> per annum</w:t>
            </w:r>
            <w:r w:rsidRPr="001B7DC2">
              <w:rPr>
                <w:rFonts w:cs="Arial"/>
              </w:rPr>
              <w:t>)</w:t>
            </w:r>
            <w:r w:rsidR="00521E5C" w:rsidRPr="001B7DC2">
              <w:rPr>
                <w:rFonts w:cs="Arial"/>
              </w:rPr>
              <w:t>.  Funds may also have significant performance fees or carry of structured as private equity.</w:t>
            </w:r>
          </w:p>
          <w:p w:rsidR="009B25A1" w:rsidRPr="001B7DC2" w:rsidRDefault="009B25A1" w:rsidP="001B7DC2">
            <w:pPr>
              <w:rPr>
                <w:rFonts w:cs="Arial"/>
              </w:rPr>
            </w:pPr>
          </w:p>
          <w:p w:rsidR="009B25A1" w:rsidRPr="001B7DC2" w:rsidRDefault="009B25A1" w:rsidP="001B7DC2">
            <w:pPr>
              <w:rPr>
                <w:rFonts w:cs="Arial"/>
                <w:b/>
              </w:rPr>
            </w:pPr>
            <w:r w:rsidRPr="001B7DC2">
              <w:rPr>
                <w:rFonts w:cs="Arial"/>
              </w:rPr>
              <w:t>Exposure to gearing without control except broad range permitted in fund regulations.</w:t>
            </w:r>
          </w:p>
        </w:tc>
      </w:tr>
    </w:tbl>
    <w:p w:rsidR="009B25A1" w:rsidRPr="001B7DC2" w:rsidRDefault="009B25A1" w:rsidP="001B7DC2">
      <w:pPr>
        <w:rPr>
          <w:rFonts w:cs="Arial"/>
          <w:b/>
        </w:rPr>
      </w:pPr>
    </w:p>
    <w:p w:rsidR="009B25A1" w:rsidRPr="001B7DC2" w:rsidRDefault="00F3220F" w:rsidP="001B7DC2">
      <w:pPr>
        <w:ind w:left="720" w:hanging="720"/>
        <w:rPr>
          <w:rFonts w:cs="Arial"/>
        </w:rPr>
      </w:pPr>
      <w:r w:rsidRPr="001B7DC2">
        <w:rPr>
          <w:rFonts w:cs="Arial"/>
        </w:rPr>
        <w:t>2.24</w:t>
      </w:r>
      <w:r w:rsidRPr="001B7DC2">
        <w:rPr>
          <w:rFonts w:cs="Arial"/>
        </w:rPr>
        <w:tab/>
      </w:r>
      <w:r w:rsidR="009B25A1" w:rsidRPr="001B7DC2">
        <w:rPr>
          <w:rFonts w:cs="Arial"/>
        </w:rPr>
        <w:t xml:space="preserve">The use of listed investment companies for indirect investment </w:t>
      </w:r>
      <w:r w:rsidR="00521E5C" w:rsidRPr="001B7DC2">
        <w:rPr>
          <w:rFonts w:cs="Arial"/>
        </w:rPr>
        <w:t xml:space="preserve">may </w:t>
      </w:r>
      <w:r w:rsidR="009B25A1" w:rsidRPr="001B7DC2">
        <w:rPr>
          <w:rFonts w:cs="Arial"/>
        </w:rPr>
        <w:t>remove the issues of illiquidity but brings in significant volatility in returns dependent on market sentiment.  In the long term, listed company returns are comparable to private fund returns, but actual returns may be greatly influenced by the timing of the investment.</w:t>
      </w:r>
    </w:p>
    <w:p w:rsidR="005E0E09" w:rsidRPr="001B7DC2" w:rsidRDefault="009F5436" w:rsidP="001B7DC2">
      <w:pPr>
        <w:rPr>
          <w:rFonts w:cs="Arial"/>
          <w:u w:val="single"/>
        </w:rPr>
      </w:pPr>
      <w:r w:rsidRPr="001B7DC2">
        <w:rPr>
          <w:rFonts w:cs="Arial"/>
          <w:u w:val="single"/>
        </w:rPr>
        <w:t>The Investment Strategy</w:t>
      </w:r>
    </w:p>
    <w:p w:rsidR="008C13E5" w:rsidRPr="001B7DC2" w:rsidRDefault="00F3220F" w:rsidP="001B7DC2">
      <w:pPr>
        <w:ind w:left="720" w:hanging="720"/>
        <w:rPr>
          <w:rFonts w:eastAsiaTheme="minorHAnsi" w:cs="Arial"/>
          <w:bCs/>
          <w:iCs/>
          <w:color w:val="auto"/>
        </w:rPr>
      </w:pPr>
      <w:r w:rsidRPr="001B7DC2">
        <w:rPr>
          <w:rFonts w:eastAsiaTheme="minorHAnsi" w:cs="Arial"/>
          <w:bCs/>
          <w:iCs/>
          <w:color w:val="auto"/>
        </w:rPr>
        <w:t>2.25</w:t>
      </w:r>
      <w:r w:rsidRPr="001B7DC2">
        <w:rPr>
          <w:rFonts w:eastAsiaTheme="minorHAnsi" w:cs="Arial"/>
          <w:bCs/>
          <w:iCs/>
          <w:color w:val="auto"/>
        </w:rPr>
        <w:tab/>
      </w:r>
      <w:r w:rsidR="00DF6977" w:rsidRPr="001B7DC2">
        <w:rPr>
          <w:rFonts w:eastAsiaTheme="minorHAnsi" w:cs="Arial"/>
          <w:bCs/>
          <w:iCs/>
          <w:color w:val="auto"/>
        </w:rPr>
        <w:t xml:space="preserve">The aim of </w:t>
      </w:r>
      <w:r w:rsidR="0044450C" w:rsidRPr="001B7DC2">
        <w:rPr>
          <w:rFonts w:eastAsiaTheme="minorHAnsi" w:cs="Arial"/>
          <w:bCs/>
          <w:iCs/>
          <w:color w:val="auto"/>
        </w:rPr>
        <w:t xml:space="preserve">the </w:t>
      </w:r>
      <w:r w:rsidR="00DF6977" w:rsidRPr="001B7DC2">
        <w:rPr>
          <w:rFonts w:eastAsiaTheme="minorHAnsi" w:cs="Arial"/>
          <w:bCs/>
          <w:iCs/>
          <w:color w:val="auto"/>
        </w:rPr>
        <w:t>Property Investment Strategy is to deliver solid, reliable property returns to the Fund through a diversified portfolio of investments</w:t>
      </w:r>
      <w:r w:rsidR="009076E1" w:rsidRPr="001B7DC2">
        <w:rPr>
          <w:rFonts w:eastAsiaTheme="minorHAnsi" w:cs="Arial"/>
          <w:bCs/>
          <w:iCs/>
          <w:color w:val="auto"/>
        </w:rPr>
        <w:t xml:space="preserve">.  It </w:t>
      </w:r>
      <w:r w:rsidR="00C03FA5" w:rsidRPr="001B7DC2">
        <w:rPr>
          <w:rFonts w:eastAsiaTheme="minorHAnsi" w:cs="Arial"/>
          <w:bCs/>
          <w:iCs/>
          <w:color w:val="auto"/>
        </w:rPr>
        <w:t xml:space="preserve">aims </w:t>
      </w:r>
      <w:r w:rsidR="009076E1" w:rsidRPr="001B7DC2">
        <w:rPr>
          <w:rFonts w:eastAsiaTheme="minorHAnsi" w:cs="Arial"/>
          <w:bCs/>
          <w:iCs/>
          <w:color w:val="auto"/>
        </w:rPr>
        <w:t xml:space="preserve">not only </w:t>
      </w:r>
      <w:r w:rsidR="00C03FA5" w:rsidRPr="001B7DC2">
        <w:rPr>
          <w:rFonts w:eastAsiaTheme="minorHAnsi" w:cs="Arial"/>
          <w:bCs/>
          <w:iCs/>
          <w:color w:val="auto"/>
        </w:rPr>
        <w:t xml:space="preserve">to reduce volatility by seeking exposures across property sectors and geographies but </w:t>
      </w:r>
      <w:r w:rsidR="009076E1" w:rsidRPr="001B7DC2">
        <w:rPr>
          <w:rFonts w:eastAsiaTheme="minorHAnsi" w:cs="Arial"/>
          <w:bCs/>
          <w:iCs/>
          <w:color w:val="auto"/>
        </w:rPr>
        <w:t xml:space="preserve">also offer </w:t>
      </w:r>
      <w:r w:rsidR="008C13E5" w:rsidRPr="001B7DC2">
        <w:rPr>
          <w:rFonts w:eastAsiaTheme="minorHAnsi" w:cs="Arial"/>
          <w:bCs/>
          <w:iCs/>
          <w:color w:val="auto"/>
        </w:rPr>
        <w:t xml:space="preserve">the </w:t>
      </w:r>
      <w:r w:rsidR="00C03FA5" w:rsidRPr="001B7DC2">
        <w:rPr>
          <w:rFonts w:eastAsiaTheme="minorHAnsi" w:cs="Arial"/>
          <w:bCs/>
          <w:iCs/>
          <w:color w:val="auto"/>
        </w:rPr>
        <w:t>prospect of</w:t>
      </w:r>
      <w:r w:rsidR="008C13E5" w:rsidRPr="001B7DC2">
        <w:rPr>
          <w:rFonts w:eastAsiaTheme="minorHAnsi" w:cs="Arial"/>
          <w:bCs/>
          <w:iCs/>
          <w:color w:val="auto"/>
        </w:rPr>
        <w:t xml:space="preserve"> higher returns through </w:t>
      </w:r>
      <w:r w:rsidR="009076E1" w:rsidRPr="001B7DC2">
        <w:rPr>
          <w:rFonts w:eastAsiaTheme="minorHAnsi" w:cs="Arial"/>
          <w:bCs/>
          <w:iCs/>
          <w:color w:val="auto"/>
        </w:rPr>
        <w:t>appropriate diversification and s</w:t>
      </w:r>
      <w:r w:rsidR="008C13E5" w:rsidRPr="001B7DC2">
        <w:rPr>
          <w:rFonts w:eastAsiaTheme="minorHAnsi" w:cs="Arial"/>
          <w:bCs/>
          <w:iCs/>
          <w:color w:val="auto"/>
        </w:rPr>
        <w:t>pecialist/opportunity investment</w:t>
      </w:r>
      <w:r w:rsidR="00DF6977" w:rsidRPr="001B7DC2">
        <w:rPr>
          <w:rFonts w:eastAsiaTheme="minorHAnsi" w:cs="Arial"/>
          <w:bCs/>
          <w:iCs/>
          <w:color w:val="auto"/>
        </w:rPr>
        <w:t>.</w:t>
      </w:r>
      <w:r w:rsidR="00C03FA5" w:rsidRPr="001B7DC2">
        <w:rPr>
          <w:rFonts w:eastAsiaTheme="minorHAnsi" w:cs="Arial"/>
          <w:bCs/>
          <w:iCs/>
          <w:color w:val="auto"/>
        </w:rPr>
        <w:t xml:space="preserve">  </w:t>
      </w:r>
      <w:r w:rsidR="00DF6977" w:rsidRPr="001B7DC2">
        <w:rPr>
          <w:rFonts w:eastAsiaTheme="minorHAnsi" w:cs="Arial"/>
          <w:bCs/>
          <w:iCs/>
          <w:color w:val="auto"/>
        </w:rPr>
        <w:t xml:space="preserve">  </w:t>
      </w:r>
    </w:p>
    <w:p w:rsidR="00FD16AD" w:rsidRPr="001B7DC2" w:rsidRDefault="00F3220F" w:rsidP="001B7DC2">
      <w:pPr>
        <w:ind w:left="720" w:hanging="720"/>
        <w:rPr>
          <w:rFonts w:eastAsiaTheme="minorHAnsi" w:cs="Arial"/>
          <w:bCs/>
          <w:iCs/>
          <w:color w:val="auto"/>
        </w:rPr>
      </w:pPr>
      <w:r w:rsidRPr="001B7DC2">
        <w:rPr>
          <w:rFonts w:eastAsiaTheme="minorHAnsi" w:cs="Arial"/>
          <w:bCs/>
          <w:iCs/>
          <w:color w:val="auto"/>
        </w:rPr>
        <w:t>2.26</w:t>
      </w:r>
      <w:r w:rsidRPr="001B7DC2">
        <w:rPr>
          <w:rFonts w:eastAsiaTheme="minorHAnsi" w:cs="Arial"/>
          <w:bCs/>
          <w:iCs/>
          <w:color w:val="auto"/>
        </w:rPr>
        <w:tab/>
      </w:r>
      <w:r w:rsidR="009076E1" w:rsidRPr="001B7DC2">
        <w:rPr>
          <w:rFonts w:eastAsiaTheme="minorHAnsi" w:cs="Arial"/>
          <w:bCs/>
          <w:iCs/>
          <w:color w:val="auto"/>
        </w:rPr>
        <w:t>It is proposed that t</w:t>
      </w:r>
      <w:r w:rsidR="008C13E5" w:rsidRPr="001B7DC2">
        <w:rPr>
          <w:rFonts w:eastAsiaTheme="minorHAnsi" w:cs="Arial"/>
          <w:bCs/>
          <w:iCs/>
          <w:color w:val="auto"/>
        </w:rPr>
        <w:t xml:space="preserve">he aim of the property portfolio </w:t>
      </w:r>
      <w:r w:rsidR="009076E1" w:rsidRPr="001B7DC2">
        <w:rPr>
          <w:rFonts w:eastAsiaTheme="minorHAnsi" w:cs="Arial"/>
          <w:bCs/>
          <w:iCs/>
          <w:color w:val="auto"/>
        </w:rPr>
        <w:t xml:space="preserve">should </w:t>
      </w:r>
      <w:r w:rsidR="008C13E5" w:rsidRPr="001B7DC2">
        <w:rPr>
          <w:rFonts w:eastAsiaTheme="minorHAnsi" w:cs="Arial"/>
          <w:bCs/>
          <w:iCs/>
          <w:color w:val="auto"/>
        </w:rPr>
        <w:t>be to deliver an absolute return to the Fund rather than track</w:t>
      </w:r>
      <w:r w:rsidR="00734088" w:rsidRPr="001B7DC2">
        <w:rPr>
          <w:rFonts w:eastAsiaTheme="minorHAnsi" w:cs="Arial"/>
          <w:bCs/>
          <w:iCs/>
          <w:color w:val="auto"/>
        </w:rPr>
        <w:t xml:space="preserve"> </w:t>
      </w:r>
      <w:r w:rsidR="009E3C93" w:rsidRPr="001B7DC2">
        <w:rPr>
          <w:rFonts w:eastAsiaTheme="minorHAnsi" w:cs="Arial"/>
          <w:bCs/>
          <w:iCs/>
          <w:color w:val="auto"/>
        </w:rPr>
        <w:t>a particular</w:t>
      </w:r>
      <w:r w:rsidR="00FD16AD" w:rsidRPr="001B7DC2">
        <w:rPr>
          <w:rFonts w:eastAsiaTheme="minorHAnsi" w:cs="Arial"/>
          <w:bCs/>
          <w:iCs/>
          <w:color w:val="auto"/>
        </w:rPr>
        <w:t xml:space="preserve"> property benchmark.  Such an approach promotes long term value decision-making over shorter term drivers to meet a particular index benchmark performance.  </w:t>
      </w:r>
      <w:r w:rsidR="00AC62BD" w:rsidRPr="001B7DC2">
        <w:rPr>
          <w:rFonts w:eastAsiaTheme="minorHAnsi" w:cs="Arial"/>
          <w:bCs/>
          <w:iCs/>
          <w:color w:val="auto"/>
        </w:rPr>
        <w:t>However, t</w:t>
      </w:r>
      <w:r w:rsidR="00386EA3" w:rsidRPr="001B7DC2">
        <w:rPr>
          <w:rFonts w:eastAsiaTheme="minorHAnsi" w:cs="Arial"/>
          <w:bCs/>
          <w:iCs/>
          <w:color w:val="auto"/>
        </w:rPr>
        <w:t xml:space="preserve">he volatility of returns </w:t>
      </w:r>
      <w:r w:rsidR="00FD16AD" w:rsidRPr="001B7DC2">
        <w:rPr>
          <w:rFonts w:eastAsiaTheme="minorHAnsi" w:cs="Arial"/>
          <w:bCs/>
          <w:iCs/>
          <w:color w:val="auto"/>
        </w:rPr>
        <w:t xml:space="preserve">means that evaluation of performance against </w:t>
      </w:r>
      <w:r w:rsidR="00386EA3" w:rsidRPr="001B7DC2">
        <w:rPr>
          <w:rFonts w:eastAsiaTheme="minorHAnsi" w:cs="Arial"/>
          <w:bCs/>
          <w:iCs/>
          <w:color w:val="auto"/>
        </w:rPr>
        <w:t xml:space="preserve">an absolute return </w:t>
      </w:r>
      <w:r w:rsidR="00FD16AD" w:rsidRPr="001B7DC2">
        <w:rPr>
          <w:rFonts w:eastAsiaTheme="minorHAnsi" w:cs="Arial"/>
          <w:bCs/>
          <w:iCs/>
          <w:color w:val="auto"/>
        </w:rPr>
        <w:t xml:space="preserve">benchmark </w:t>
      </w:r>
      <w:r w:rsidR="00AC62BD" w:rsidRPr="001B7DC2">
        <w:rPr>
          <w:rFonts w:eastAsiaTheme="minorHAnsi" w:cs="Arial"/>
          <w:bCs/>
          <w:iCs/>
          <w:color w:val="auto"/>
        </w:rPr>
        <w:t xml:space="preserve">is most meaningful when </w:t>
      </w:r>
      <w:r w:rsidR="00FD16AD" w:rsidRPr="001B7DC2">
        <w:rPr>
          <w:rFonts w:eastAsiaTheme="minorHAnsi" w:cs="Arial"/>
          <w:bCs/>
          <w:iCs/>
          <w:color w:val="auto"/>
        </w:rPr>
        <w:t xml:space="preserve">undertaken over </w:t>
      </w:r>
      <w:r w:rsidR="00386EA3" w:rsidRPr="001B7DC2">
        <w:rPr>
          <w:rFonts w:eastAsiaTheme="minorHAnsi" w:cs="Arial"/>
          <w:bCs/>
          <w:iCs/>
          <w:color w:val="auto"/>
        </w:rPr>
        <w:t xml:space="preserve">longer </w:t>
      </w:r>
      <w:r w:rsidR="00FD16AD" w:rsidRPr="001B7DC2">
        <w:rPr>
          <w:rFonts w:eastAsiaTheme="minorHAnsi" w:cs="Arial"/>
          <w:bCs/>
          <w:iCs/>
          <w:color w:val="auto"/>
        </w:rPr>
        <w:t>period</w:t>
      </w:r>
      <w:r w:rsidR="00386EA3" w:rsidRPr="001B7DC2">
        <w:rPr>
          <w:rFonts w:eastAsiaTheme="minorHAnsi" w:cs="Arial"/>
          <w:bCs/>
          <w:iCs/>
          <w:color w:val="auto"/>
        </w:rPr>
        <w:t>s of time.</w:t>
      </w:r>
    </w:p>
    <w:p w:rsidR="008C13E5" w:rsidRPr="001B7DC2" w:rsidRDefault="00F3220F" w:rsidP="001B7DC2">
      <w:pPr>
        <w:ind w:left="720" w:hanging="720"/>
        <w:rPr>
          <w:rFonts w:eastAsiaTheme="minorHAnsi" w:cs="Arial"/>
          <w:bCs/>
          <w:iCs/>
          <w:color w:val="auto"/>
        </w:rPr>
      </w:pPr>
      <w:r w:rsidRPr="001B7DC2">
        <w:rPr>
          <w:rFonts w:eastAsiaTheme="minorHAnsi" w:cs="Arial"/>
          <w:bCs/>
          <w:iCs/>
          <w:color w:val="auto"/>
        </w:rPr>
        <w:t>2.27</w:t>
      </w:r>
      <w:r w:rsidRPr="001B7DC2">
        <w:rPr>
          <w:rFonts w:eastAsiaTheme="minorHAnsi" w:cs="Arial"/>
          <w:bCs/>
          <w:iCs/>
          <w:color w:val="auto"/>
        </w:rPr>
        <w:tab/>
      </w:r>
      <w:r w:rsidR="00734088" w:rsidRPr="001B7DC2">
        <w:rPr>
          <w:rFonts w:eastAsiaTheme="minorHAnsi" w:cs="Arial"/>
          <w:bCs/>
          <w:iCs/>
          <w:color w:val="auto"/>
        </w:rPr>
        <w:t>For performance reporting purposes, it is proposed that an absolute benchmark of 8% p</w:t>
      </w:r>
      <w:r w:rsidR="00EA618E" w:rsidRPr="001B7DC2">
        <w:rPr>
          <w:rFonts w:eastAsiaTheme="minorHAnsi" w:cs="Arial"/>
          <w:bCs/>
          <w:iCs/>
          <w:color w:val="auto"/>
        </w:rPr>
        <w:t>er year</w:t>
      </w:r>
      <w:r w:rsidR="00734088" w:rsidRPr="001B7DC2">
        <w:rPr>
          <w:rFonts w:eastAsiaTheme="minorHAnsi" w:cs="Arial"/>
          <w:bCs/>
          <w:iCs/>
          <w:color w:val="auto"/>
        </w:rPr>
        <w:t xml:space="preserve"> is used</w:t>
      </w:r>
      <w:r w:rsidR="0044450C" w:rsidRPr="001B7DC2">
        <w:rPr>
          <w:rFonts w:eastAsiaTheme="minorHAnsi" w:cs="Arial"/>
          <w:bCs/>
          <w:iCs/>
          <w:color w:val="auto"/>
        </w:rPr>
        <w:t>,</w:t>
      </w:r>
      <w:r w:rsidR="00734088" w:rsidRPr="001B7DC2">
        <w:rPr>
          <w:rFonts w:eastAsiaTheme="minorHAnsi" w:cs="Arial"/>
          <w:bCs/>
          <w:iCs/>
          <w:color w:val="auto"/>
        </w:rPr>
        <w:t xml:space="preserve"> </w:t>
      </w:r>
      <w:r w:rsidR="009E3C93" w:rsidRPr="001B7DC2">
        <w:rPr>
          <w:rFonts w:eastAsiaTheme="minorHAnsi" w:cs="Arial"/>
          <w:bCs/>
          <w:iCs/>
          <w:color w:val="auto"/>
        </w:rPr>
        <w:t xml:space="preserve">the same </w:t>
      </w:r>
      <w:r w:rsidR="00734088" w:rsidRPr="001B7DC2">
        <w:rPr>
          <w:rFonts w:eastAsiaTheme="minorHAnsi" w:cs="Arial"/>
          <w:bCs/>
          <w:iCs/>
          <w:color w:val="auto"/>
        </w:rPr>
        <w:t xml:space="preserve">as for the infra-structure investment allocation.  In judging the results of individual constituents of the property portfolio, </w:t>
      </w:r>
      <w:r w:rsidR="00AC62BD" w:rsidRPr="001B7DC2">
        <w:rPr>
          <w:rFonts w:eastAsiaTheme="minorHAnsi" w:cs="Arial"/>
          <w:bCs/>
          <w:iCs/>
          <w:color w:val="auto"/>
        </w:rPr>
        <w:t xml:space="preserve">especially in the shorter term, </w:t>
      </w:r>
      <w:r w:rsidR="00734088" w:rsidRPr="001B7DC2">
        <w:rPr>
          <w:rFonts w:eastAsiaTheme="minorHAnsi" w:cs="Arial"/>
          <w:bCs/>
          <w:iCs/>
          <w:color w:val="auto"/>
        </w:rPr>
        <w:t xml:space="preserve">then specialist </w:t>
      </w:r>
      <w:r w:rsidR="00AC62BD" w:rsidRPr="001B7DC2">
        <w:rPr>
          <w:rFonts w:eastAsiaTheme="minorHAnsi" w:cs="Arial"/>
          <w:bCs/>
          <w:iCs/>
          <w:color w:val="auto"/>
        </w:rPr>
        <w:t>property benchmarks may be used.</w:t>
      </w:r>
    </w:p>
    <w:p w:rsidR="003E073C" w:rsidRPr="001B7DC2" w:rsidRDefault="00F3220F" w:rsidP="001B7DC2">
      <w:pPr>
        <w:ind w:left="720" w:hanging="720"/>
        <w:rPr>
          <w:rFonts w:eastAsiaTheme="minorHAnsi" w:cs="Arial"/>
          <w:bCs/>
          <w:iCs/>
          <w:color w:val="auto"/>
        </w:rPr>
      </w:pPr>
      <w:r w:rsidRPr="001B7DC2">
        <w:rPr>
          <w:rFonts w:eastAsiaTheme="minorHAnsi" w:cs="Arial"/>
          <w:bCs/>
          <w:iCs/>
          <w:color w:val="auto"/>
        </w:rPr>
        <w:t>2.28</w:t>
      </w:r>
      <w:r w:rsidRPr="001B7DC2">
        <w:rPr>
          <w:rFonts w:eastAsiaTheme="minorHAnsi" w:cs="Arial"/>
          <w:bCs/>
          <w:iCs/>
          <w:color w:val="auto"/>
        </w:rPr>
        <w:tab/>
      </w:r>
      <w:r w:rsidR="003E073C" w:rsidRPr="001B7DC2">
        <w:rPr>
          <w:rFonts w:eastAsiaTheme="minorHAnsi" w:cs="Arial"/>
          <w:bCs/>
          <w:iCs/>
          <w:color w:val="auto"/>
        </w:rPr>
        <w:t xml:space="preserve">As the absolute benchmark reporting will only become meaningful after a number of years, it is proposed the performance of the property portfolio is also measured against </w:t>
      </w:r>
      <w:r w:rsidR="004A7751" w:rsidRPr="001B7DC2">
        <w:rPr>
          <w:rFonts w:eastAsiaTheme="minorHAnsi" w:cs="Arial"/>
          <w:bCs/>
          <w:iCs/>
          <w:color w:val="auto"/>
        </w:rPr>
        <w:t xml:space="preserve">the existing </w:t>
      </w:r>
      <w:r w:rsidR="003E073C" w:rsidRPr="001B7DC2">
        <w:rPr>
          <w:rFonts w:eastAsiaTheme="minorHAnsi" w:cs="Arial"/>
          <w:bCs/>
          <w:iCs/>
          <w:color w:val="auto"/>
        </w:rPr>
        <w:t xml:space="preserve">broad IPD UK property index. This </w:t>
      </w:r>
      <w:r w:rsidR="004A7751" w:rsidRPr="001B7DC2">
        <w:rPr>
          <w:rFonts w:eastAsiaTheme="minorHAnsi" w:cs="Arial"/>
          <w:bCs/>
          <w:iCs/>
          <w:color w:val="auto"/>
        </w:rPr>
        <w:t xml:space="preserve">performance measure will also measure the value of adding diversity into the property portfolio beyond the existing direct UK portfolio. </w:t>
      </w:r>
      <w:r w:rsidR="003E073C" w:rsidRPr="001B7DC2">
        <w:rPr>
          <w:rFonts w:eastAsiaTheme="minorHAnsi" w:cs="Arial"/>
          <w:bCs/>
          <w:iCs/>
          <w:color w:val="auto"/>
        </w:rPr>
        <w:t xml:space="preserve">   </w:t>
      </w:r>
    </w:p>
    <w:p w:rsidR="007701FF" w:rsidRPr="001B7DC2" w:rsidRDefault="00F3220F" w:rsidP="001B7DC2">
      <w:pPr>
        <w:ind w:left="720" w:hanging="720"/>
        <w:rPr>
          <w:rFonts w:eastAsiaTheme="minorHAnsi" w:cs="Arial"/>
          <w:bCs/>
          <w:iCs/>
          <w:color w:val="auto"/>
        </w:rPr>
      </w:pPr>
      <w:r w:rsidRPr="001B7DC2">
        <w:rPr>
          <w:rFonts w:eastAsiaTheme="minorHAnsi" w:cs="Arial"/>
          <w:bCs/>
          <w:iCs/>
          <w:color w:val="auto"/>
        </w:rPr>
        <w:t>2.29</w:t>
      </w:r>
      <w:r w:rsidRPr="001B7DC2">
        <w:rPr>
          <w:rFonts w:eastAsiaTheme="minorHAnsi" w:cs="Arial"/>
          <w:bCs/>
          <w:iCs/>
          <w:color w:val="auto"/>
        </w:rPr>
        <w:tab/>
      </w:r>
      <w:r w:rsidR="00DF6977" w:rsidRPr="001B7DC2">
        <w:rPr>
          <w:rFonts w:eastAsiaTheme="minorHAnsi" w:cs="Arial"/>
          <w:bCs/>
          <w:iCs/>
          <w:color w:val="auto"/>
        </w:rPr>
        <w:t xml:space="preserve">The portfolio construction will be influenced not only by the </w:t>
      </w:r>
      <w:r w:rsidR="0044450C" w:rsidRPr="001B7DC2">
        <w:rPr>
          <w:rFonts w:eastAsiaTheme="minorHAnsi" w:cs="Arial"/>
          <w:bCs/>
          <w:iCs/>
          <w:color w:val="auto"/>
        </w:rPr>
        <w:t xml:space="preserve">net </w:t>
      </w:r>
      <w:r w:rsidR="00DF6977" w:rsidRPr="001B7DC2">
        <w:rPr>
          <w:rFonts w:eastAsiaTheme="minorHAnsi" w:cs="Arial"/>
          <w:bCs/>
          <w:iCs/>
          <w:color w:val="auto"/>
        </w:rPr>
        <w:t xml:space="preserve">returns available, but </w:t>
      </w:r>
      <w:r w:rsidR="00314FBB" w:rsidRPr="001B7DC2">
        <w:rPr>
          <w:rFonts w:eastAsiaTheme="minorHAnsi" w:cs="Arial"/>
          <w:bCs/>
          <w:iCs/>
          <w:color w:val="auto"/>
        </w:rPr>
        <w:t xml:space="preserve">also </w:t>
      </w:r>
      <w:r w:rsidR="00DF6977" w:rsidRPr="001B7DC2">
        <w:rPr>
          <w:rFonts w:eastAsiaTheme="minorHAnsi" w:cs="Arial"/>
          <w:bCs/>
          <w:iCs/>
          <w:color w:val="auto"/>
        </w:rPr>
        <w:t>by the</w:t>
      </w:r>
      <w:r w:rsidR="00314FBB" w:rsidRPr="001B7DC2">
        <w:rPr>
          <w:rFonts w:eastAsiaTheme="minorHAnsi" w:cs="Arial"/>
          <w:bCs/>
          <w:iCs/>
          <w:color w:val="auto"/>
        </w:rPr>
        <w:t xml:space="preserve"> correlation and volatility of returns across sectors and geographies</w:t>
      </w:r>
      <w:r w:rsidR="00734088" w:rsidRPr="001B7DC2">
        <w:rPr>
          <w:rFonts w:eastAsiaTheme="minorHAnsi" w:cs="Arial"/>
          <w:bCs/>
          <w:iCs/>
          <w:color w:val="auto"/>
        </w:rPr>
        <w:t xml:space="preserve">.  </w:t>
      </w:r>
      <w:r w:rsidR="0044450C" w:rsidRPr="001B7DC2">
        <w:rPr>
          <w:rFonts w:eastAsiaTheme="minorHAnsi" w:cs="Arial"/>
          <w:bCs/>
          <w:iCs/>
          <w:color w:val="auto"/>
        </w:rPr>
        <w:t xml:space="preserve">The value leakage between gross and net returns </w:t>
      </w:r>
      <w:r w:rsidR="009076E1" w:rsidRPr="001B7DC2">
        <w:rPr>
          <w:rFonts w:eastAsiaTheme="minorHAnsi" w:cs="Arial"/>
          <w:bCs/>
          <w:iCs/>
          <w:color w:val="auto"/>
        </w:rPr>
        <w:t xml:space="preserve">needs to </w:t>
      </w:r>
      <w:r w:rsidR="009076E1" w:rsidRPr="001B7DC2">
        <w:rPr>
          <w:rFonts w:eastAsiaTheme="minorHAnsi" w:cs="Arial"/>
          <w:bCs/>
          <w:iCs/>
          <w:color w:val="auto"/>
        </w:rPr>
        <w:lastRenderedPageBreak/>
        <w:t xml:space="preserve">be taken into account because it </w:t>
      </w:r>
      <w:r w:rsidR="0044450C" w:rsidRPr="001B7DC2">
        <w:rPr>
          <w:rFonts w:eastAsiaTheme="minorHAnsi" w:cs="Arial"/>
          <w:bCs/>
          <w:iCs/>
          <w:color w:val="auto"/>
        </w:rPr>
        <w:t>varies significantly depending o</w:t>
      </w:r>
      <w:r w:rsidR="009076E1" w:rsidRPr="001B7DC2">
        <w:rPr>
          <w:rFonts w:eastAsiaTheme="minorHAnsi" w:cs="Arial"/>
          <w:bCs/>
          <w:iCs/>
          <w:color w:val="auto"/>
        </w:rPr>
        <w:t>n the investment route chosen</w:t>
      </w:r>
    </w:p>
    <w:p w:rsidR="0044450C" w:rsidRPr="001B7DC2" w:rsidRDefault="0044450C" w:rsidP="001B7DC2">
      <w:pPr>
        <w:jc w:val="both"/>
        <w:rPr>
          <w:rFonts w:cs="Arial"/>
          <w:u w:val="single"/>
        </w:rPr>
      </w:pPr>
      <w:r w:rsidRPr="001B7DC2">
        <w:rPr>
          <w:rFonts w:cs="Arial"/>
          <w:u w:val="single"/>
        </w:rPr>
        <w:t>Proposed property allocations</w:t>
      </w:r>
    </w:p>
    <w:p w:rsidR="0044450C" w:rsidRPr="001B7DC2" w:rsidRDefault="00F3220F" w:rsidP="001B7DC2">
      <w:pPr>
        <w:ind w:left="720" w:hanging="720"/>
        <w:jc w:val="both"/>
        <w:rPr>
          <w:rFonts w:cs="Arial"/>
        </w:rPr>
      </w:pPr>
      <w:r w:rsidRPr="001B7DC2">
        <w:rPr>
          <w:rFonts w:cs="Arial"/>
        </w:rPr>
        <w:t>2.30</w:t>
      </w:r>
      <w:r w:rsidRPr="001B7DC2">
        <w:rPr>
          <w:rFonts w:cs="Arial"/>
        </w:rPr>
        <w:tab/>
      </w:r>
      <w:r w:rsidR="0044450C" w:rsidRPr="001B7DC2">
        <w:rPr>
          <w:rFonts w:cs="Arial"/>
        </w:rPr>
        <w:t>It is proposed that the mainstay of the property allocation should be to a core property portfolio with additional investments seeking some diversification and higher returns. Where core strategies might have an IRR of 6-8%</w:t>
      </w:r>
      <w:r w:rsidR="004E77FF" w:rsidRPr="001B7DC2">
        <w:rPr>
          <w:rFonts w:cs="Arial"/>
        </w:rPr>
        <w:t xml:space="preserve"> per annum</w:t>
      </w:r>
      <w:r w:rsidR="0044450C" w:rsidRPr="001B7DC2">
        <w:rPr>
          <w:rFonts w:cs="Arial"/>
        </w:rPr>
        <w:t>, the specialist income/opportunity strategies would be expected to return IRRs of 8-12%</w:t>
      </w:r>
      <w:r w:rsidR="004E77FF" w:rsidRPr="001B7DC2">
        <w:rPr>
          <w:rFonts w:cs="Arial"/>
        </w:rPr>
        <w:t xml:space="preserve"> per annum</w:t>
      </w:r>
      <w:r w:rsidR="0044450C" w:rsidRPr="001B7DC2">
        <w:rPr>
          <w:rFonts w:cs="Arial"/>
        </w:rPr>
        <w:t xml:space="preserve">:  </w:t>
      </w:r>
    </w:p>
    <w:p w:rsidR="00936F2B" w:rsidRPr="001B7DC2" w:rsidRDefault="00936F2B" w:rsidP="001B7DC2">
      <w:pPr>
        <w:rPr>
          <w:rFonts w:eastAsiaTheme="minorHAnsi" w:cs="Arial"/>
          <w:bCs/>
          <w:iCs/>
          <w:color w:val="auto"/>
        </w:rPr>
      </w:pPr>
    </w:p>
    <w:tbl>
      <w:tblPr>
        <w:tblW w:w="7562" w:type="dxa"/>
        <w:jc w:val="center"/>
        <w:tblInd w:w="93" w:type="dxa"/>
        <w:tblLook w:val="04A0"/>
      </w:tblPr>
      <w:tblGrid>
        <w:gridCol w:w="960"/>
        <w:gridCol w:w="960"/>
        <w:gridCol w:w="960"/>
        <w:gridCol w:w="960"/>
        <w:gridCol w:w="340"/>
        <w:gridCol w:w="1127"/>
        <w:gridCol w:w="793"/>
        <w:gridCol w:w="222"/>
        <w:gridCol w:w="1240"/>
      </w:tblGrid>
      <w:tr w:rsidR="003E5605" w:rsidRPr="001B7DC2" w:rsidTr="0030037C">
        <w:trPr>
          <w:trHeight w:val="300"/>
          <w:jc w:val="center"/>
        </w:trPr>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920" w:type="dxa"/>
            <w:gridSpan w:val="2"/>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r w:rsidRPr="001B7DC2">
              <w:rPr>
                <w:rFonts w:eastAsia="Times New Roman" w:cs="Arial"/>
                <w:lang w:eastAsia="en-GB"/>
              </w:rPr>
              <w:t>Banded ranges</w:t>
            </w: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Example</w:t>
            </w:r>
          </w:p>
        </w:tc>
      </w:tr>
      <w:tr w:rsidR="003E5605" w:rsidRPr="001B7DC2" w:rsidTr="0030037C">
        <w:trPr>
          <w:trHeight w:val="300"/>
          <w:jc w:val="center"/>
        </w:trPr>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£m</w:t>
            </w:r>
          </w:p>
        </w:tc>
      </w:tr>
      <w:tr w:rsidR="003E5605" w:rsidRPr="001B7DC2" w:rsidTr="0030037C">
        <w:trPr>
          <w:trHeight w:val="300"/>
          <w:jc w:val="center"/>
        </w:trPr>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p>
        </w:tc>
      </w:tr>
      <w:tr w:rsidR="003E5605" w:rsidRPr="001B7DC2" w:rsidTr="0030037C">
        <w:trPr>
          <w:trHeight w:val="300"/>
          <w:jc w:val="center"/>
        </w:trPr>
        <w:tc>
          <w:tcPr>
            <w:tcW w:w="1920" w:type="dxa"/>
            <w:gridSpan w:val="2"/>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r w:rsidRPr="001B7DC2">
              <w:rPr>
                <w:rFonts w:eastAsia="Times New Roman" w:cs="Arial"/>
                <w:lang w:eastAsia="en-GB"/>
              </w:rPr>
              <w:t>Value of Fund</w:t>
            </w: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5000</w:t>
            </w:r>
          </w:p>
        </w:tc>
      </w:tr>
      <w:tr w:rsidR="003E5605" w:rsidRPr="001B7DC2" w:rsidTr="0030037C">
        <w:trPr>
          <w:trHeight w:val="300"/>
          <w:jc w:val="center"/>
        </w:trPr>
        <w:tc>
          <w:tcPr>
            <w:tcW w:w="3840" w:type="dxa"/>
            <w:gridSpan w:val="4"/>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r w:rsidRPr="001B7DC2">
              <w:rPr>
                <w:rFonts w:eastAsia="Times New Roman" w:cs="Arial"/>
                <w:lang w:eastAsia="en-GB"/>
              </w:rPr>
              <w:t>Percentage allocation to property</w:t>
            </w: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15%</w:t>
            </w:r>
          </w:p>
        </w:tc>
      </w:tr>
      <w:tr w:rsidR="003E5605" w:rsidRPr="001B7DC2" w:rsidTr="0030037C">
        <w:trPr>
          <w:trHeight w:val="300"/>
          <w:jc w:val="center"/>
        </w:trPr>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p>
        </w:tc>
      </w:tr>
      <w:tr w:rsidR="003E5605" w:rsidRPr="001B7DC2" w:rsidTr="0030037C">
        <w:trPr>
          <w:trHeight w:val="300"/>
          <w:jc w:val="center"/>
        </w:trPr>
        <w:tc>
          <w:tcPr>
            <w:tcW w:w="2880" w:type="dxa"/>
            <w:gridSpan w:val="3"/>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r w:rsidRPr="001B7DC2">
              <w:rPr>
                <w:rFonts w:eastAsia="Times New Roman" w:cs="Arial"/>
                <w:lang w:eastAsia="en-GB"/>
              </w:rPr>
              <w:t>Total Property Allocation</w:t>
            </w: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single" w:sz="4" w:space="0" w:color="auto"/>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750</w:t>
            </w:r>
          </w:p>
        </w:tc>
      </w:tr>
      <w:tr w:rsidR="003E5605" w:rsidRPr="001B7DC2" w:rsidTr="0030037C">
        <w:trPr>
          <w:trHeight w:val="300"/>
          <w:jc w:val="center"/>
        </w:trPr>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r>
      <w:tr w:rsidR="00936F2B" w:rsidRPr="001B7DC2" w:rsidTr="0030037C">
        <w:trPr>
          <w:trHeight w:val="300"/>
          <w:jc w:val="center"/>
        </w:trPr>
        <w:tc>
          <w:tcPr>
            <w:tcW w:w="2880" w:type="dxa"/>
            <w:gridSpan w:val="3"/>
            <w:tcBorders>
              <w:top w:val="nil"/>
              <w:left w:val="nil"/>
              <w:bottom w:val="nil"/>
              <w:right w:val="nil"/>
            </w:tcBorders>
            <w:shd w:val="clear" w:color="auto" w:fill="auto"/>
            <w:noWrap/>
            <w:vAlign w:val="bottom"/>
            <w:hideMark/>
          </w:tcPr>
          <w:p w:rsidR="00936F2B" w:rsidRPr="001B7DC2" w:rsidRDefault="00936F2B" w:rsidP="001B7DC2">
            <w:pPr>
              <w:spacing w:after="0"/>
              <w:rPr>
                <w:rFonts w:eastAsia="Times New Roman" w:cs="Arial"/>
                <w:lang w:eastAsia="en-GB"/>
              </w:rPr>
            </w:pPr>
            <w:r w:rsidRPr="001B7DC2">
              <w:rPr>
                <w:rFonts w:eastAsia="Times New Roman" w:cs="Arial"/>
                <w:lang w:eastAsia="en-GB"/>
              </w:rPr>
              <w:t>Diversified Core Portfolio</w:t>
            </w:r>
          </w:p>
        </w:tc>
        <w:tc>
          <w:tcPr>
            <w:tcW w:w="960" w:type="dxa"/>
            <w:tcBorders>
              <w:top w:val="nil"/>
              <w:left w:val="nil"/>
              <w:bottom w:val="nil"/>
              <w:right w:val="nil"/>
            </w:tcBorders>
            <w:shd w:val="clear" w:color="auto" w:fill="auto"/>
            <w:noWrap/>
            <w:vAlign w:val="bottom"/>
            <w:hideMark/>
          </w:tcPr>
          <w:p w:rsidR="00936F2B" w:rsidRPr="001B7DC2" w:rsidRDefault="00936F2B"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936F2B" w:rsidRPr="001B7DC2" w:rsidRDefault="00936F2B"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936F2B" w:rsidRPr="001B7DC2" w:rsidRDefault="00936F2B" w:rsidP="001B7DC2">
            <w:pPr>
              <w:spacing w:after="0"/>
              <w:rPr>
                <w:rFonts w:eastAsia="Times New Roman" w:cs="Arial"/>
                <w:lang w:eastAsia="en-GB"/>
              </w:rPr>
            </w:pPr>
            <w:r w:rsidRPr="001B7DC2">
              <w:rPr>
                <w:rFonts w:eastAsia="Times New Roman" w:cs="Arial"/>
                <w:lang w:eastAsia="en-GB"/>
              </w:rPr>
              <w:t>Range</w:t>
            </w:r>
          </w:p>
        </w:tc>
        <w:tc>
          <w:tcPr>
            <w:tcW w:w="793" w:type="dxa"/>
            <w:tcBorders>
              <w:top w:val="nil"/>
              <w:left w:val="nil"/>
              <w:bottom w:val="nil"/>
              <w:right w:val="nil"/>
            </w:tcBorders>
            <w:shd w:val="clear" w:color="auto" w:fill="auto"/>
            <w:noWrap/>
            <w:vAlign w:val="bottom"/>
            <w:hideMark/>
          </w:tcPr>
          <w:p w:rsidR="00936F2B" w:rsidRPr="001B7DC2" w:rsidRDefault="00936F2B" w:rsidP="001B7DC2">
            <w:pPr>
              <w:spacing w:after="0"/>
              <w:jc w:val="right"/>
              <w:rPr>
                <w:rFonts w:eastAsia="Times New Roman" w:cs="Arial"/>
                <w:lang w:eastAsia="en-GB"/>
              </w:rPr>
            </w:pPr>
            <w:r w:rsidRPr="001B7DC2">
              <w:rPr>
                <w:rFonts w:eastAsia="Times New Roman" w:cs="Arial"/>
                <w:lang w:eastAsia="en-GB"/>
              </w:rPr>
              <w:t>70%</w:t>
            </w:r>
          </w:p>
        </w:tc>
        <w:tc>
          <w:tcPr>
            <w:tcW w:w="222" w:type="dxa"/>
            <w:tcBorders>
              <w:top w:val="nil"/>
              <w:left w:val="nil"/>
              <w:bottom w:val="nil"/>
              <w:right w:val="nil"/>
            </w:tcBorders>
            <w:shd w:val="clear" w:color="auto" w:fill="auto"/>
            <w:noWrap/>
            <w:vAlign w:val="bottom"/>
            <w:hideMark/>
          </w:tcPr>
          <w:p w:rsidR="00936F2B" w:rsidRPr="001B7DC2" w:rsidRDefault="00936F2B"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936F2B" w:rsidRPr="001B7DC2" w:rsidRDefault="00C03FA5" w:rsidP="001B7DC2">
            <w:pPr>
              <w:spacing w:after="0"/>
              <w:jc w:val="right"/>
              <w:rPr>
                <w:rFonts w:eastAsia="Times New Roman" w:cs="Arial"/>
                <w:lang w:eastAsia="en-GB"/>
              </w:rPr>
            </w:pPr>
            <w:r w:rsidRPr="001B7DC2">
              <w:rPr>
                <w:rFonts w:eastAsia="Times New Roman" w:cs="Arial"/>
                <w:lang w:eastAsia="en-GB"/>
              </w:rPr>
              <w:t>525</w:t>
            </w:r>
          </w:p>
        </w:tc>
      </w:tr>
      <w:tr w:rsidR="003E5605" w:rsidRPr="001B7DC2" w:rsidTr="0030037C">
        <w:trPr>
          <w:trHeight w:val="300"/>
          <w:jc w:val="center"/>
        </w:trPr>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to</w:t>
            </w: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to</w:t>
            </w:r>
          </w:p>
        </w:tc>
      </w:tr>
      <w:tr w:rsidR="003E5605" w:rsidRPr="001B7DC2" w:rsidTr="0030037C">
        <w:trPr>
          <w:trHeight w:val="300"/>
          <w:jc w:val="center"/>
        </w:trPr>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80%</w:t>
            </w: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600</w:t>
            </w:r>
          </w:p>
        </w:tc>
      </w:tr>
      <w:tr w:rsidR="003E5605" w:rsidRPr="001B7DC2" w:rsidTr="0030037C">
        <w:trPr>
          <w:trHeight w:val="300"/>
          <w:jc w:val="center"/>
        </w:trPr>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r>
      <w:tr w:rsidR="003E5605" w:rsidRPr="001B7DC2" w:rsidTr="0030037C">
        <w:trPr>
          <w:trHeight w:val="300"/>
          <w:jc w:val="center"/>
        </w:trPr>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r>
      <w:tr w:rsidR="003E5605" w:rsidRPr="001B7DC2" w:rsidTr="0030037C">
        <w:trPr>
          <w:trHeight w:val="300"/>
          <w:jc w:val="center"/>
        </w:trPr>
        <w:tc>
          <w:tcPr>
            <w:tcW w:w="3840" w:type="dxa"/>
            <w:gridSpan w:val="4"/>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r w:rsidRPr="001B7DC2">
              <w:rPr>
                <w:rFonts w:eastAsia="Times New Roman" w:cs="Arial"/>
                <w:lang w:eastAsia="en-GB"/>
              </w:rPr>
              <w:t>Specialist / Opportunity Portfolio</w:t>
            </w: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r w:rsidRPr="001B7DC2">
              <w:rPr>
                <w:rFonts w:eastAsia="Times New Roman" w:cs="Arial"/>
                <w:lang w:eastAsia="en-GB"/>
              </w:rPr>
              <w:t>Range</w:t>
            </w: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20%</w:t>
            </w: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150</w:t>
            </w:r>
          </w:p>
        </w:tc>
      </w:tr>
      <w:tr w:rsidR="003E5605" w:rsidRPr="001B7DC2" w:rsidTr="0030037C">
        <w:trPr>
          <w:trHeight w:val="300"/>
          <w:jc w:val="center"/>
        </w:trPr>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to</w:t>
            </w: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to</w:t>
            </w:r>
          </w:p>
        </w:tc>
      </w:tr>
      <w:tr w:rsidR="003E5605" w:rsidRPr="001B7DC2" w:rsidTr="0030037C">
        <w:trPr>
          <w:trHeight w:val="300"/>
          <w:jc w:val="center"/>
        </w:trPr>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3E5605" w:rsidRPr="001B7DC2" w:rsidRDefault="003E5605" w:rsidP="001B7DC2">
            <w:pPr>
              <w:spacing w:after="0"/>
              <w:jc w:val="right"/>
              <w:rPr>
                <w:rFonts w:eastAsia="Times New Roman" w:cs="Arial"/>
                <w:lang w:eastAsia="en-GB"/>
              </w:rPr>
            </w:pPr>
            <w:r w:rsidRPr="001B7DC2">
              <w:rPr>
                <w:rFonts w:eastAsia="Times New Roman" w:cs="Arial"/>
                <w:lang w:eastAsia="en-GB"/>
              </w:rPr>
              <w:t>30%</w:t>
            </w:r>
          </w:p>
        </w:tc>
        <w:tc>
          <w:tcPr>
            <w:tcW w:w="222" w:type="dxa"/>
            <w:tcBorders>
              <w:top w:val="nil"/>
              <w:left w:val="nil"/>
              <w:bottom w:val="nil"/>
              <w:right w:val="nil"/>
            </w:tcBorders>
            <w:shd w:val="clear" w:color="auto" w:fill="auto"/>
            <w:noWrap/>
            <w:vAlign w:val="bottom"/>
            <w:hideMark/>
          </w:tcPr>
          <w:p w:rsidR="003E5605" w:rsidRPr="001B7DC2" w:rsidRDefault="003E5605" w:rsidP="001B7DC2">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3E5605" w:rsidRPr="001B7DC2" w:rsidRDefault="00C03FA5" w:rsidP="001B7DC2">
            <w:pPr>
              <w:spacing w:after="0"/>
              <w:jc w:val="right"/>
              <w:rPr>
                <w:rFonts w:eastAsia="Times New Roman" w:cs="Arial"/>
                <w:lang w:eastAsia="en-GB"/>
              </w:rPr>
            </w:pPr>
            <w:r w:rsidRPr="001B7DC2">
              <w:rPr>
                <w:rFonts w:eastAsia="Times New Roman" w:cs="Arial"/>
                <w:lang w:eastAsia="en-GB"/>
              </w:rPr>
              <w:t>225</w:t>
            </w:r>
          </w:p>
        </w:tc>
      </w:tr>
    </w:tbl>
    <w:p w:rsidR="003E5605" w:rsidRPr="001B7DC2" w:rsidRDefault="003E5605" w:rsidP="001B7DC2">
      <w:pPr>
        <w:rPr>
          <w:rFonts w:eastAsiaTheme="minorHAnsi" w:cs="Arial"/>
          <w:bCs/>
          <w:iCs/>
          <w:color w:val="auto"/>
        </w:rPr>
      </w:pPr>
    </w:p>
    <w:p w:rsidR="00F52B4B" w:rsidRPr="001B7DC2" w:rsidRDefault="00BA70E2" w:rsidP="001B7DC2">
      <w:pPr>
        <w:spacing w:after="0"/>
        <w:ind w:left="720"/>
        <w:rPr>
          <w:rFonts w:eastAsiaTheme="minorHAnsi" w:cs="Arial"/>
          <w:bCs/>
          <w:iCs/>
          <w:color w:val="auto"/>
        </w:rPr>
      </w:pPr>
      <w:r w:rsidRPr="001B7DC2">
        <w:rPr>
          <w:rFonts w:eastAsiaTheme="minorHAnsi" w:cs="Arial"/>
          <w:bCs/>
          <w:iCs/>
          <w:color w:val="auto"/>
        </w:rPr>
        <w:t xml:space="preserve">This combination of core and specialist holdings offers the prospect of </w:t>
      </w:r>
      <w:r w:rsidR="003F631F" w:rsidRPr="001B7DC2">
        <w:rPr>
          <w:rFonts w:eastAsiaTheme="minorHAnsi" w:cs="Arial"/>
          <w:bCs/>
          <w:iCs/>
          <w:color w:val="auto"/>
        </w:rPr>
        <w:t xml:space="preserve">at least </w:t>
      </w:r>
      <w:r w:rsidRPr="001B7DC2">
        <w:rPr>
          <w:rFonts w:eastAsiaTheme="minorHAnsi" w:cs="Arial"/>
          <w:bCs/>
          <w:iCs/>
          <w:color w:val="auto"/>
        </w:rPr>
        <w:t xml:space="preserve">achieving the 8% </w:t>
      </w:r>
      <w:r w:rsidR="00D367C5" w:rsidRPr="001B7DC2">
        <w:rPr>
          <w:rFonts w:eastAsiaTheme="minorHAnsi" w:cs="Arial"/>
          <w:bCs/>
          <w:iCs/>
          <w:color w:val="auto"/>
        </w:rPr>
        <w:t xml:space="preserve">per annum </w:t>
      </w:r>
      <w:r w:rsidRPr="001B7DC2">
        <w:rPr>
          <w:rFonts w:eastAsiaTheme="minorHAnsi" w:cs="Arial"/>
          <w:bCs/>
          <w:iCs/>
          <w:color w:val="auto"/>
        </w:rPr>
        <w:t>absolute retur</w:t>
      </w:r>
      <w:r w:rsidR="003F631F" w:rsidRPr="001B7DC2">
        <w:rPr>
          <w:rFonts w:eastAsiaTheme="minorHAnsi" w:cs="Arial"/>
          <w:bCs/>
          <w:iCs/>
          <w:color w:val="auto"/>
        </w:rPr>
        <w:t>n benchmark proposed if not exceeding it.</w:t>
      </w:r>
      <w:r w:rsidR="00F52B4B" w:rsidRPr="001B7DC2">
        <w:rPr>
          <w:rFonts w:eastAsiaTheme="minorHAnsi" w:cs="Arial"/>
          <w:bCs/>
          <w:iCs/>
          <w:color w:val="auto"/>
        </w:rPr>
        <w:br/>
      </w:r>
    </w:p>
    <w:p w:rsidR="00BA70E2" w:rsidRDefault="00F52B4B" w:rsidP="001B7DC2">
      <w:pPr>
        <w:pStyle w:val="ListParagraph"/>
        <w:numPr>
          <w:ilvl w:val="0"/>
          <w:numId w:val="2"/>
        </w:numPr>
        <w:spacing w:after="0"/>
        <w:rPr>
          <w:rFonts w:eastAsiaTheme="minorHAnsi" w:cs="Arial"/>
          <w:b/>
          <w:bCs/>
          <w:iCs/>
          <w:color w:val="auto"/>
        </w:rPr>
      </w:pPr>
      <w:r w:rsidRPr="001B7DC2">
        <w:rPr>
          <w:rFonts w:eastAsiaTheme="minorHAnsi" w:cs="Arial"/>
          <w:b/>
          <w:bCs/>
          <w:iCs/>
          <w:color w:val="auto"/>
        </w:rPr>
        <w:t>T</w:t>
      </w:r>
      <w:r w:rsidR="00563F2F" w:rsidRPr="001B7DC2">
        <w:rPr>
          <w:rFonts w:eastAsiaTheme="minorHAnsi" w:cs="Arial"/>
          <w:b/>
          <w:bCs/>
          <w:iCs/>
          <w:color w:val="auto"/>
        </w:rPr>
        <w:t>he Diversified Core Portfolio</w:t>
      </w:r>
    </w:p>
    <w:p w:rsidR="001B7DC2" w:rsidRPr="001B7DC2" w:rsidRDefault="001B7DC2" w:rsidP="001B7DC2">
      <w:pPr>
        <w:pStyle w:val="ListParagraph"/>
        <w:spacing w:after="0"/>
        <w:ind w:left="360"/>
        <w:rPr>
          <w:rFonts w:eastAsiaTheme="minorHAnsi" w:cs="Arial"/>
          <w:b/>
          <w:bCs/>
          <w:iCs/>
          <w:color w:val="auto"/>
        </w:rPr>
      </w:pPr>
    </w:p>
    <w:p w:rsidR="00BA70E2" w:rsidRPr="001B7DC2" w:rsidRDefault="00F3220F" w:rsidP="001B7DC2">
      <w:pPr>
        <w:ind w:left="720" w:hanging="720"/>
        <w:rPr>
          <w:rFonts w:eastAsiaTheme="minorHAnsi" w:cs="Arial"/>
          <w:bCs/>
          <w:iCs/>
          <w:color w:val="auto"/>
        </w:rPr>
      </w:pPr>
      <w:r w:rsidRPr="001B7DC2">
        <w:rPr>
          <w:rFonts w:eastAsiaTheme="minorHAnsi" w:cs="Arial"/>
          <w:bCs/>
          <w:iCs/>
          <w:color w:val="auto"/>
        </w:rPr>
        <w:t>3.1</w:t>
      </w:r>
      <w:r w:rsidRPr="001B7DC2">
        <w:rPr>
          <w:rFonts w:eastAsiaTheme="minorHAnsi" w:cs="Arial"/>
          <w:bCs/>
          <w:iCs/>
          <w:color w:val="auto"/>
        </w:rPr>
        <w:tab/>
      </w:r>
      <w:r w:rsidR="002A1AFB" w:rsidRPr="001B7DC2">
        <w:rPr>
          <w:rFonts w:eastAsiaTheme="minorHAnsi" w:cs="Arial"/>
          <w:bCs/>
          <w:iCs/>
          <w:color w:val="auto"/>
        </w:rPr>
        <w:t>The Diversified Core Portfolio is proposed to be between 70% and 80% of the property allocation.</w:t>
      </w:r>
    </w:p>
    <w:p w:rsidR="00935F3C" w:rsidRPr="001B7DC2" w:rsidRDefault="00935F3C" w:rsidP="001B7DC2">
      <w:pPr>
        <w:rPr>
          <w:rFonts w:eastAsiaTheme="minorHAnsi" w:cs="Arial"/>
          <w:bCs/>
          <w:iCs/>
          <w:color w:val="auto"/>
          <w:u w:val="single"/>
        </w:rPr>
      </w:pPr>
      <w:r w:rsidRPr="001B7DC2">
        <w:rPr>
          <w:rFonts w:eastAsiaTheme="minorHAnsi" w:cs="Arial"/>
          <w:bCs/>
          <w:iCs/>
          <w:color w:val="auto"/>
          <w:u w:val="single"/>
        </w:rPr>
        <w:t xml:space="preserve">Definition of Core Property </w:t>
      </w:r>
    </w:p>
    <w:p w:rsidR="00935F3C" w:rsidRPr="001B7DC2" w:rsidRDefault="00F3220F" w:rsidP="001B7DC2">
      <w:pPr>
        <w:ind w:left="720" w:hanging="720"/>
        <w:jc w:val="both"/>
        <w:rPr>
          <w:rFonts w:cs="Arial"/>
        </w:rPr>
      </w:pPr>
      <w:r w:rsidRPr="001B7DC2">
        <w:rPr>
          <w:rFonts w:cs="Arial"/>
        </w:rPr>
        <w:t>3.2</w:t>
      </w:r>
      <w:r w:rsidRPr="001B7DC2">
        <w:rPr>
          <w:rFonts w:cs="Arial"/>
        </w:rPr>
        <w:tab/>
      </w:r>
      <w:r w:rsidR="00935F3C" w:rsidRPr="001B7DC2">
        <w:rPr>
          <w:rFonts w:cs="Arial"/>
        </w:rPr>
        <w:t xml:space="preserve">Property professionals </w:t>
      </w:r>
      <w:r w:rsidR="00926904" w:rsidRPr="001B7DC2">
        <w:rPr>
          <w:rFonts w:cs="Arial"/>
        </w:rPr>
        <w:t>place</w:t>
      </w:r>
      <w:r w:rsidR="00935F3C" w:rsidRPr="001B7DC2">
        <w:rPr>
          <w:rFonts w:cs="Arial"/>
        </w:rPr>
        <w:t xml:space="preserve"> property </w:t>
      </w:r>
      <w:r w:rsidR="00926904" w:rsidRPr="001B7DC2">
        <w:rPr>
          <w:rFonts w:cs="Arial"/>
        </w:rPr>
        <w:t xml:space="preserve">in bands </w:t>
      </w:r>
      <w:r w:rsidR="00935F3C" w:rsidRPr="001B7DC2">
        <w:rPr>
          <w:rFonts w:cs="Arial"/>
        </w:rPr>
        <w:t xml:space="preserve">in terms of its </w:t>
      </w:r>
      <w:r w:rsidR="00130687" w:rsidRPr="001B7DC2">
        <w:rPr>
          <w:rFonts w:cs="Arial"/>
        </w:rPr>
        <w:t>risk and return characteristics</w:t>
      </w:r>
      <w:r w:rsidR="00935F3C" w:rsidRPr="001B7DC2">
        <w:rPr>
          <w:rFonts w:cs="Arial"/>
        </w:rPr>
        <w:t xml:space="preserve"> as Core, Core +, Value Added and Opportunity.  This describes the quality of construction, the location, the length of lease and quality of the tenant.  For the </w:t>
      </w:r>
      <w:r w:rsidR="00926904" w:rsidRPr="001B7DC2">
        <w:rPr>
          <w:rFonts w:cs="Arial"/>
        </w:rPr>
        <w:t>Fund’s portfolio Core is taken to be Core and Core + property.</w:t>
      </w:r>
    </w:p>
    <w:p w:rsidR="00935F3C" w:rsidRPr="001B7DC2" w:rsidRDefault="00F3220F" w:rsidP="001B7DC2">
      <w:pPr>
        <w:ind w:left="720" w:hanging="720"/>
        <w:jc w:val="both"/>
        <w:rPr>
          <w:rFonts w:cs="Arial"/>
        </w:rPr>
      </w:pPr>
      <w:r w:rsidRPr="001B7DC2">
        <w:rPr>
          <w:rFonts w:cs="Arial"/>
        </w:rPr>
        <w:t>3.3</w:t>
      </w:r>
      <w:r w:rsidRPr="001B7DC2">
        <w:rPr>
          <w:rFonts w:cs="Arial"/>
        </w:rPr>
        <w:tab/>
      </w:r>
      <w:r w:rsidR="00935F3C" w:rsidRPr="001B7DC2">
        <w:rPr>
          <w:rFonts w:cs="Arial"/>
        </w:rPr>
        <w:t xml:space="preserve">Core property is the very best property in leading locations typically with tenants with high quality covenants holding long leases.  </w:t>
      </w:r>
      <w:r w:rsidR="003151EA" w:rsidRPr="001B7DC2">
        <w:rPr>
          <w:rFonts w:cs="Arial"/>
        </w:rPr>
        <w:t xml:space="preserve">Core + properties </w:t>
      </w:r>
      <w:r w:rsidR="003151EA" w:rsidRPr="001B7DC2">
        <w:rPr>
          <w:rFonts w:cs="Arial"/>
        </w:rPr>
        <w:lastRenderedPageBreak/>
        <w:t xml:space="preserve">are similar properties but in slightly less favourable locations, slightly shorter leases and weaker tenant covenants. </w:t>
      </w:r>
    </w:p>
    <w:p w:rsidR="00935F3C" w:rsidRPr="001B7DC2" w:rsidRDefault="00F3220F" w:rsidP="001B7DC2">
      <w:pPr>
        <w:ind w:left="720" w:hanging="720"/>
        <w:jc w:val="both"/>
        <w:rPr>
          <w:rFonts w:cs="Arial"/>
        </w:rPr>
      </w:pPr>
      <w:r w:rsidRPr="001B7DC2">
        <w:rPr>
          <w:rFonts w:cs="Arial"/>
        </w:rPr>
        <w:t>3.4</w:t>
      </w:r>
      <w:r w:rsidRPr="001B7DC2">
        <w:rPr>
          <w:rFonts w:cs="Arial"/>
        </w:rPr>
        <w:tab/>
      </w:r>
      <w:r w:rsidR="00935F3C" w:rsidRPr="001B7DC2">
        <w:rPr>
          <w:rFonts w:cs="Arial"/>
        </w:rPr>
        <w:t xml:space="preserve">Rental yields are lowest with Core properties, but they </w:t>
      </w:r>
      <w:r w:rsidR="003151EA" w:rsidRPr="001B7DC2">
        <w:rPr>
          <w:rFonts w:cs="Arial"/>
        </w:rPr>
        <w:t>may be considered</w:t>
      </w:r>
      <w:r w:rsidR="00935F3C" w:rsidRPr="001B7DC2">
        <w:rPr>
          <w:rFonts w:cs="Arial"/>
        </w:rPr>
        <w:t xml:space="preserve"> as being the safest stores of value and offering the prospects of </w:t>
      </w:r>
      <w:r w:rsidR="003151EA" w:rsidRPr="001B7DC2">
        <w:rPr>
          <w:rFonts w:cs="Arial"/>
        </w:rPr>
        <w:t xml:space="preserve">both </w:t>
      </w:r>
      <w:r w:rsidR="00130687" w:rsidRPr="001B7DC2">
        <w:rPr>
          <w:rFonts w:cs="Arial"/>
        </w:rPr>
        <w:t xml:space="preserve">steady </w:t>
      </w:r>
      <w:r w:rsidR="003151EA" w:rsidRPr="001B7DC2">
        <w:rPr>
          <w:rFonts w:cs="Arial"/>
        </w:rPr>
        <w:t xml:space="preserve">rental and capital growth, making them appropriate mainstream investment assets for a pension fund seeking long term secure growth.  Some long leases have explicit inflation linkage.  </w:t>
      </w:r>
      <w:r w:rsidR="00935F3C" w:rsidRPr="001B7DC2">
        <w:rPr>
          <w:rFonts w:cs="Arial"/>
        </w:rPr>
        <w:t xml:space="preserve"> </w:t>
      </w:r>
    </w:p>
    <w:p w:rsidR="00935F3C" w:rsidRPr="001B7DC2" w:rsidRDefault="00F3220F" w:rsidP="001B7DC2">
      <w:pPr>
        <w:ind w:left="720" w:hanging="720"/>
        <w:jc w:val="both"/>
        <w:rPr>
          <w:rFonts w:cs="Arial"/>
        </w:rPr>
      </w:pPr>
      <w:r w:rsidRPr="001B7DC2">
        <w:rPr>
          <w:rFonts w:cs="Arial"/>
        </w:rPr>
        <w:t>3.5</w:t>
      </w:r>
      <w:r w:rsidRPr="001B7DC2">
        <w:rPr>
          <w:rFonts w:cs="Arial"/>
        </w:rPr>
        <w:tab/>
      </w:r>
      <w:r w:rsidR="00935F3C" w:rsidRPr="001B7DC2">
        <w:rPr>
          <w:rFonts w:cs="Arial"/>
        </w:rPr>
        <w:t>Even with core property, the property investment manager needs to be active and pursue asset management opportunities within the portfolio to maximise the value of the properties.</w:t>
      </w:r>
    </w:p>
    <w:p w:rsidR="003151EA" w:rsidRPr="001B7DC2" w:rsidRDefault="003151EA" w:rsidP="001B7DC2">
      <w:pPr>
        <w:jc w:val="both"/>
        <w:rPr>
          <w:rFonts w:cs="Arial"/>
          <w:u w:val="single"/>
        </w:rPr>
      </w:pPr>
      <w:r w:rsidRPr="001B7DC2">
        <w:rPr>
          <w:rFonts w:cs="Arial"/>
          <w:u w:val="single"/>
        </w:rPr>
        <w:t>Existing Core Portfolio</w:t>
      </w:r>
    </w:p>
    <w:p w:rsidR="003151EA" w:rsidRPr="001B7DC2" w:rsidRDefault="00F3220F" w:rsidP="001B7DC2">
      <w:pPr>
        <w:ind w:left="720" w:hanging="720"/>
        <w:jc w:val="both"/>
        <w:rPr>
          <w:rFonts w:cs="Arial"/>
        </w:rPr>
      </w:pPr>
      <w:r w:rsidRPr="001B7DC2">
        <w:rPr>
          <w:rFonts w:cs="Arial"/>
        </w:rPr>
        <w:t>3.6</w:t>
      </w:r>
      <w:r w:rsidRPr="001B7DC2">
        <w:rPr>
          <w:rFonts w:cs="Arial"/>
        </w:rPr>
        <w:tab/>
      </w:r>
      <w:r w:rsidR="003151EA" w:rsidRPr="001B7DC2">
        <w:rPr>
          <w:rFonts w:cs="Arial"/>
        </w:rPr>
        <w:t xml:space="preserve">The Fund currently has a £434m direct UK property portfolio comprising </w:t>
      </w:r>
      <w:r w:rsidR="00FC2C5A" w:rsidRPr="001B7DC2">
        <w:rPr>
          <w:rFonts w:cs="Arial"/>
        </w:rPr>
        <w:t>44</w:t>
      </w:r>
      <w:r w:rsidR="003151EA" w:rsidRPr="001B7DC2">
        <w:rPr>
          <w:rFonts w:cs="Arial"/>
        </w:rPr>
        <w:t xml:space="preserve"> properties managed by Knight Frank</w:t>
      </w:r>
      <w:r w:rsidR="00914643" w:rsidRPr="001B7DC2">
        <w:rPr>
          <w:rFonts w:cs="Arial"/>
        </w:rPr>
        <w:t xml:space="preserve"> under an advisory mandate.  It is </w:t>
      </w:r>
      <w:r w:rsidR="003151EA" w:rsidRPr="001B7DC2">
        <w:rPr>
          <w:rFonts w:cs="Arial"/>
        </w:rPr>
        <w:t>invested in Core and Core + property</w:t>
      </w:r>
      <w:r w:rsidR="00914643" w:rsidRPr="001B7DC2">
        <w:rPr>
          <w:rFonts w:cs="Arial"/>
        </w:rPr>
        <w:t xml:space="preserve"> and</w:t>
      </w:r>
      <w:r w:rsidR="00FC2C5A" w:rsidRPr="001B7DC2">
        <w:rPr>
          <w:rFonts w:cs="Arial"/>
        </w:rPr>
        <w:t xml:space="preserve"> represents around 9% of the Fund.  </w:t>
      </w:r>
      <w:r w:rsidR="00B31B2A" w:rsidRPr="001B7DC2">
        <w:rPr>
          <w:rFonts w:cs="Arial"/>
        </w:rPr>
        <w:t xml:space="preserve">With projects underway and under </w:t>
      </w:r>
      <w:r w:rsidR="00782C9D" w:rsidRPr="001B7DC2">
        <w:rPr>
          <w:rFonts w:cs="Arial"/>
        </w:rPr>
        <w:t xml:space="preserve">late-stage </w:t>
      </w:r>
      <w:r w:rsidR="00B31B2A" w:rsidRPr="001B7DC2">
        <w:rPr>
          <w:rFonts w:cs="Arial"/>
        </w:rPr>
        <w:t>consideration</w:t>
      </w:r>
      <w:r w:rsidR="00782C9D" w:rsidRPr="001B7DC2">
        <w:rPr>
          <w:rFonts w:cs="Arial"/>
        </w:rPr>
        <w:t xml:space="preserve"> the portfolio will increase to £460m.</w:t>
      </w:r>
      <w:r w:rsidR="00B31B2A" w:rsidRPr="001B7DC2">
        <w:rPr>
          <w:rFonts w:cs="Arial"/>
        </w:rPr>
        <w:t xml:space="preserve">  </w:t>
      </w:r>
      <w:r w:rsidR="003151EA" w:rsidRPr="001B7DC2">
        <w:rPr>
          <w:rFonts w:cs="Arial"/>
        </w:rPr>
        <w:t xml:space="preserve">Since inception in 1988, it has performed to </w:t>
      </w:r>
      <w:r w:rsidR="00FC2C5A" w:rsidRPr="001B7DC2">
        <w:rPr>
          <w:rFonts w:cs="Arial"/>
        </w:rPr>
        <w:t xml:space="preserve">its IPD </w:t>
      </w:r>
      <w:r w:rsidR="003151EA" w:rsidRPr="001B7DC2">
        <w:rPr>
          <w:rFonts w:cs="Arial"/>
        </w:rPr>
        <w:t>benchmark.</w:t>
      </w:r>
    </w:p>
    <w:p w:rsidR="00FC2C5A" w:rsidRPr="001B7DC2" w:rsidRDefault="00F3220F" w:rsidP="001B7DC2">
      <w:pPr>
        <w:ind w:left="720" w:hanging="720"/>
        <w:jc w:val="both"/>
        <w:rPr>
          <w:rFonts w:cs="Arial"/>
        </w:rPr>
      </w:pPr>
      <w:r w:rsidRPr="001B7DC2">
        <w:rPr>
          <w:rFonts w:cs="Arial"/>
        </w:rPr>
        <w:t>3.7</w:t>
      </w:r>
      <w:r w:rsidRPr="001B7DC2">
        <w:rPr>
          <w:rFonts w:cs="Arial"/>
        </w:rPr>
        <w:tab/>
      </w:r>
      <w:r w:rsidR="00FC2C5A" w:rsidRPr="001B7DC2">
        <w:rPr>
          <w:rFonts w:cs="Arial"/>
        </w:rPr>
        <w:t>In addition the Investment Panel has approved £125m for investment in two European core property funds, Invesco £50m and M&amp;G £75m.  To date £40m has been invested/committed to M&amp;G</w:t>
      </w:r>
      <w:r w:rsidR="00914643" w:rsidRPr="001B7DC2">
        <w:rPr>
          <w:rFonts w:cs="Arial"/>
        </w:rPr>
        <w:t xml:space="preserve">, £25m through secondary purchases (reducing the entry cost) and £15m committed to new units (as yet uncalled).  A commitment to Invesco has yet to </w:t>
      </w:r>
      <w:proofErr w:type="gramStart"/>
      <w:r w:rsidR="00914643" w:rsidRPr="001B7DC2">
        <w:rPr>
          <w:rFonts w:cs="Arial"/>
        </w:rPr>
        <w:t>made</w:t>
      </w:r>
      <w:proofErr w:type="gramEnd"/>
      <w:r w:rsidR="00914643" w:rsidRPr="001B7DC2">
        <w:rPr>
          <w:rFonts w:cs="Arial"/>
        </w:rPr>
        <w:t>.</w:t>
      </w:r>
    </w:p>
    <w:p w:rsidR="00914643" w:rsidRPr="001B7DC2" w:rsidRDefault="00914643" w:rsidP="001B7DC2">
      <w:pPr>
        <w:jc w:val="both"/>
        <w:rPr>
          <w:rFonts w:cs="Arial"/>
          <w:u w:val="single"/>
        </w:rPr>
      </w:pPr>
      <w:r w:rsidRPr="001B7DC2">
        <w:rPr>
          <w:rFonts w:cs="Arial"/>
          <w:u w:val="single"/>
        </w:rPr>
        <w:t>Proposed Core Portfolio</w:t>
      </w:r>
    </w:p>
    <w:p w:rsidR="00FC2C5A" w:rsidRPr="001B7DC2" w:rsidRDefault="00F3220F" w:rsidP="001B7DC2">
      <w:pPr>
        <w:ind w:left="720" w:hanging="720"/>
        <w:jc w:val="both"/>
        <w:rPr>
          <w:rFonts w:cs="Arial"/>
        </w:rPr>
      </w:pPr>
      <w:r w:rsidRPr="001B7DC2">
        <w:rPr>
          <w:rFonts w:cs="Arial"/>
        </w:rPr>
        <w:t>3.8</w:t>
      </w:r>
      <w:r w:rsidRPr="001B7DC2">
        <w:rPr>
          <w:rFonts w:cs="Arial"/>
        </w:rPr>
        <w:tab/>
      </w:r>
      <w:r w:rsidR="00B31B2A" w:rsidRPr="001B7DC2">
        <w:rPr>
          <w:rFonts w:cs="Arial"/>
        </w:rPr>
        <w:t>The proposed core portfolio represents 70% to 80% of the Fund.  Taking the mid-range at present, this represents a portfolio of £5</w:t>
      </w:r>
      <w:r w:rsidR="004A7751" w:rsidRPr="001B7DC2">
        <w:rPr>
          <w:rFonts w:cs="Arial"/>
        </w:rPr>
        <w:t>63</w:t>
      </w:r>
      <w:r w:rsidR="00B31B2A" w:rsidRPr="001B7DC2">
        <w:rPr>
          <w:rFonts w:cs="Arial"/>
        </w:rPr>
        <w:t>m.</w:t>
      </w:r>
    </w:p>
    <w:p w:rsidR="000053C1" w:rsidRPr="001B7DC2" w:rsidRDefault="00F3220F" w:rsidP="001B7DC2">
      <w:pPr>
        <w:ind w:left="720" w:hanging="720"/>
        <w:jc w:val="both"/>
        <w:rPr>
          <w:rFonts w:cs="Arial"/>
        </w:rPr>
      </w:pPr>
      <w:r w:rsidRPr="001B7DC2">
        <w:rPr>
          <w:rFonts w:cs="Arial"/>
        </w:rPr>
        <w:t>3.9</w:t>
      </w:r>
      <w:r w:rsidRPr="001B7DC2">
        <w:rPr>
          <w:rFonts w:cs="Arial"/>
        </w:rPr>
        <w:tab/>
      </w:r>
      <w:r w:rsidR="00782C9D" w:rsidRPr="001B7DC2">
        <w:rPr>
          <w:rFonts w:cs="Arial"/>
        </w:rPr>
        <w:t xml:space="preserve">To create a diversified core portfolio, the Fund needs to seek diversification both across geographies and across property sectors.  </w:t>
      </w:r>
      <w:r w:rsidR="00800C72" w:rsidRPr="001B7DC2">
        <w:rPr>
          <w:rFonts w:cs="Arial"/>
        </w:rPr>
        <w:t>M</w:t>
      </w:r>
      <w:r w:rsidR="000053C1" w:rsidRPr="001B7DC2">
        <w:rPr>
          <w:rFonts w:cs="Arial"/>
        </w:rPr>
        <w:t xml:space="preserve">anagement of the portfolio involves targeting geographies and sectors most likely to produce the </w:t>
      </w:r>
      <w:r w:rsidR="00077805" w:rsidRPr="001B7DC2">
        <w:rPr>
          <w:rFonts w:cs="Arial"/>
        </w:rPr>
        <w:t xml:space="preserve">consistent </w:t>
      </w:r>
      <w:r w:rsidR="0017061B" w:rsidRPr="001B7DC2">
        <w:rPr>
          <w:rFonts w:cs="Arial"/>
        </w:rPr>
        <w:t xml:space="preserve">long-term </w:t>
      </w:r>
      <w:r w:rsidR="000053C1" w:rsidRPr="001B7DC2">
        <w:rPr>
          <w:rFonts w:cs="Arial"/>
        </w:rPr>
        <w:t>absolute returns required by the Fund</w:t>
      </w:r>
      <w:r w:rsidR="00800C72" w:rsidRPr="001B7DC2">
        <w:rPr>
          <w:rFonts w:cs="Arial"/>
        </w:rPr>
        <w:t>.</w:t>
      </w:r>
      <w:r w:rsidR="00B61C0D" w:rsidRPr="001B7DC2">
        <w:rPr>
          <w:rFonts w:cs="Arial"/>
        </w:rPr>
        <w:t xml:space="preserve">  Given the high cost of property acquisition and disposal, investments are anticipated to be for the long term.</w:t>
      </w:r>
    </w:p>
    <w:p w:rsidR="00077805" w:rsidRPr="001B7DC2" w:rsidRDefault="00F3220F" w:rsidP="001B7DC2">
      <w:pPr>
        <w:keepLines/>
        <w:ind w:left="720" w:hanging="720"/>
        <w:jc w:val="both"/>
        <w:rPr>
          <w:rFonts w:cs="Arial"/>
        </w:rPr>
      </w:pPr>
      <w:r w:rsidRPr="001B7DC2">
        <w:rPr>
          <w:rFonts w:cs="Arial"/>
        </w:rPr>
        <w:t>3.10</w:t>
      </w:r>
      <w:r w:rsidRPr="001B7DC2">
        <w:rPr>
          <w:rFonts w:cs="Arial"/>
        </w:rPr>
        <w:tab/>
      </w:r>
      <w:r w:rsidR="003734C0" w:rsidRPr="001B7DC2">
        <w:rPr>
          <w:rFonts w:cs="Arial"/>
        </w:rPr>
        <w:t xml:space="preserve">In seeking returns across geographies, the Fund needs to look to </w:t>
      </w:r>
      <w:r w:rsidR="00077805" w:rsidRPr="001B7DC2">
        <w:rPr>
          <w:rFonts w:cs="Arial"/>
        </w:rPr>
        <w:t>country core property returns that show little correlation between themselves</w:t>
      </w:r>
      <w:r w:rsidR="00800C72" w:rsidRPr="001B7DC2">
        <w:rPr>
          <w:rFonts w:cs="Arial"/>
        </w:rPr>
        <w:t xml:space="preserve"> and the prospects of returns in excess of the UK</w:t>
      </w:r>
      <w:r w:rsidR="00077805" w:rsidRPr="001B7DC2">
        <w:rPr>
          <w:rFonts w:cs="Arial"/>
        </w:rPr>
        <w:t>.  M&amp;G, for example, run their European Property Fund and an Asian core property fund.  The Asian fund is marketed on the basis that it provides core property returns that show little correlation with the core property returns of UK and Europe.</w:t>
      </w:r>
    </w:p>
    <w:p w:rsidR="00077805" w:rsidRPr="001B7DC2" w:rsidRDefault="00F3220F" w:rsidP="001B7DC2">
      <w:pPr>
        <w:ind w:left="720" w:hanging="720"/>
        <w:jc w:val="both"/>
        <w:rPr>
          <w:rFonts w:cs="Arial"/>
        </w:rPr>
      </w:pPr>
      <w:r w:rsidRPr="001B7DC2">
        <w:rPr>
          <w:rFonts w:cs="Arial"/>
        </w:rPr>
        <w:t>3.11</w:t>
      </w:r>
      <w:r w:rsidRPr="001B7DC2">
        <w:rPr>
          <w:rFonts w:cs="Arial"/>
        </w:rPr>
        <w:tab/>
      </w:r>
      <w:r w:rsidR="00077805" w:rsidRPr="001B7DC2">
        <w:rPr>
          <w:rFonts w:cs="Arial"/>
        </w:rPr>
        <w:t xml:space="preserve">Diversification may also be gained </w:t>
      </w:r>
      <w:r w:rsidR="00683284" w:rsidRPr="001B7DC2">
        <w:rPr>
          <w:rFonts w:cs="Arial"/>
        </w:rPr>
        <w:t>by</w:t>
      </w:r>
      <w:r w:rsidR="00077805" w:rsidRPr="001B7DC2">
        <w:rPr>
          <w:rFonts w:cs="Arial"/>
        </w:rPr>
        <w:t xml:space="preserve"> looking a</w:t>
      </w:r>
      <w:r w:rsidR="00683284" w:rsidRPr="001B7DC2">
        <w:rPr>
          <w:rFonts w:cs="Arial"/>
        </w:rPr>
        <w:t>cross</w:t>
      </w:r>
      <w:r w:rsidR="00077805" w:rsidRPr="001B7DC2">
        <w:rPr>
          <w:rFonts w:cs="Arial"/>
        </w:rPr>
        <w:t xml:space="preserve"> property sectors.  The present portfolio is based on a mix of commercial property (offices, industrial premises, </w:t>
      </w:r>
      <w:r w:rsidR="00683284" w:rsidRPr="001B7DC2">
        <w:rPr>
          <w:rFonts w:cs="Arial"/>
        </w:rPr>
        <w:t xml:space="preserve">retail, retail parks, logistics and hotels).  Other property sectors, for example, residential and agricultural, offer the prospect of stable returns not so correlated with commercial property.  Residential property investment returns have been particularly stable compared with the volatility of </w:t>
      </w:r>
      <w:r w:rsidR="00683284" w:rsidRPr="001B7DC2">
        <w:rPr>
          <w:rFonts w:cs="Arial"/>
        </w:rPr>
        <w:lastRenderedPageBreak/>
        <w:t xml:space="preserve">commercial property values through the global financial crisis.  Residential property investment has long been a significant part of overseas core property </w:t>
      </w:r>
      <w:r w:rsidR="00D6412D" w:rsidRPr="001B7DC2">
        <w:rPr>
          <w:rFonts w:cs="Arial"/>
        </w:rPr>
        <w:t xml:space="preserve">funds and the present return to longer term renting in the UK is opening up this sector to institutional investment again. </w:t>
      </w:r>
      <w:r w:rsidR="00683284" w:rsidRPr="001B7DC2">
        <w:rPr>
          <w:rFonts w:cs="Arial"/>
        </w:rPr>
        <w:t xml:space="preserve"> </w:t>
      </w:r>
    </w:p>
    <w:p w:rsidR="00F74E62" w:rsidRPr="001B7DC2" w:rsidRDefault="00F3220F" w:rsidP="001B7DC2">
      <w:pPr>
        <w:ind w:left="720" w:hanging="720"/>
        <w:jc w:val="both"/>
        <w:rPr>
          <w:rFonts w:cs="Arial"/>
        </w:rPr>
      </w:pPr>
      <w:r w:rsidRPr="001B7DC2">
        <w:rPr>
          <w:rFonts w:cs="Arial"/>
        </w:rPr>
        <w:t>3.12</w:t>
      </w:r>
      <w:r w:rsidRPr="001B7DC2">
        <w:rPr>
          <w:rFonts w:cs="Arial"/>
        </w:rPr>
        <w:tab/>
      </w:r>
      <w:r w:rsidR="00F74E62" w:rsidRPr="001B7DC2">
        <w:rPr>
          <w:rFonts w:cs="Arial"/>
        </w:rPr>
        <w:t xml:space="preserve">A possible route to achieving diversification across property sectors and geographies is through the use of derivatives rather than acquiring actual property.   There are a number of brokers offering or looking to offer derivatives that pay property index returns.  At the moment there are some total UK market instruments and proposals to launch property sector specific instruments.  The difficulty with property derivatives is that they tend to be traded in very low volumes so can suffer illiquidity, though this is less of concern if held to maturity. While there may not be an immediate role </w:t>
      </w:r>
      <w:r w:rsidR="00EF1C6E" w:rsidRPr="001B7DC2">
        <w:rPr>
          <w:rFonts w:cs="Arial"/>
        </w:rPr>
        <w:t>for property derivatives in</w:t>
      </w:r>
      <w:r w:rsidR="00F74E62" w:rsidRPr="001B7DC2">
        <w:rPr>
          <w:rFonts w:cs="Arial"/>
        </w:rPr>
        <w:t xml:space="preserve"> the Fund, it is a</w:t>
      </w:r>
      <w:r w:rsidR="00EF1C6E" w:rsidRPr="001B7DC2">
        <w:rPr>
          <w:rFonts w:cs="Arial"/>
        </w:rPr>
        <w:t>n area</w:t>
      </w:r>
      <w:r w:rsidR="00F74E62" w:rsidRPr="001B7DC2">
        <w:rPr>
          <w:rFonts w:cs="Arial"/>
        </w:rPr>
        <w:t xml:space="preserve"> that should be kept under review, particularly if country property return derivatives became available.</w:t>
      </w:r>
    </w:p>
    <w:p w:rsidR="00A3494C" w:rsidRPr="001B7DC2" w:rsidRDefault="00F3220F" w:rsidP="001B7DC2">
      <w:pPr>
        <w:ind w:left="720" w:hanging="720"/>
        <w:jc w:val="both"/>
        <w:rPr>
          <w:rFonts w:cs="Arial"/>
        </w:rPr>
      </w:pPr>
      <w:r w:rsidRPr="001B7DC2">
        <w:rPr>
          <w:rFonts w:cs="Arial"/>
        </w:rPr>
        <w:t>3.13</w:t>
      </w:r>
      <w:r w:rsidRPr="001B7DC2">
        <w:rPr>
          <w:rFonts w:cs="Arial"/>
        </w:rPr>
        <w:tab/>
      </w:r>
      <w:r w:rsidR="00A3494C" w:rsidRPr="001B7DC2">
        <w:rPr>
          <w:rFonts w:cs="Arial"/>
        </w:rPr>
        <w:t>T</w:t>
      </w:r>
      <w:r w:rsidR="0061586B" w:rsidRPr="001B7DC2">
        <w:rPr>
          <w:rFonts w:cs="Arial"/>
        </w:rPr>
        <w:t xml:space="preserve">he </w:t>
      </w:r>
      <w:r w:rsidR="00A3494C" w:rsidRPr="001B7DC2">
        <w:rPr>
          <w:rFonts w:cs="Arial"/>
        </w:rPr>
        <w:t xml:space="preserve">total </w:t>
      </w:r>
      <w:r w:rsidR="0061586B" w:rsidRPr="001B7DC2">
        <w:rPr>
          <w:rFonts w:cs="Arial"/>
        </w:rPr>
        <w:t xml:space="preserve">value leakage between gross and net returns is </w:t>
      </w:r>
      <w:r w:rsidR="00D6412D" w:rsidRPr="001B7DC2">
        <w:rPr>
          <w:rFonts w:cs="Arial"/>
        </w:rPr>
        <w:t xml:space="preserve">also </w:t>
      </w:r>
      <w:r w:rsidR="0061586B" w:rsidRPr="001B7DC2">
        <w:rPr>
          <w:rFonts w:cs="Arial"/>
        </w:rPr>
        <w:t xml:space="preserve">an important factor that </w:t>
      </w:r>
      <w:r w:rsidR="0022288C" w:rsidRPr="001B7DC2">
        <w:rPr>
          <w:rFonts w:cs="Arial"/>
        </w:rPr>
        <w:t>needs to be taken into account</w:t>
      </w:r>
      <w:r w:rsidR="00E54C64" w:rsidRPr="001B7DC2">
        <w:rPr>
          <w:rFonts w:cs="Arial"/>
        </w:rPr>
        <w:t xml:space="preserve"> when building a diversified core portfolio.  It</w:t>
      </w:r>
      <w:r w:rsidR="0022288C" w:rsidRPr="001B7DC2">
        <w:rPr>
          <w:rFonts w:cs="Arial"/>
        </w:rPr>
        <w:t xml:space="preserve"> </w:t>
      </w:r>
      <w:r w:rsidR="0061586B" w:rsidRPr="001B7DC2">
        <w:rPr>
          <w:rFonts w:cs="Arial"/>
        </w:rPr>
        <w:t>gives UK investment and direct investment</w:t>
      </w:r>
      <w:r w:rsidR="0022288C" w:rsidRPr="001B7DC2">
        <w:rPr>
          <w:rFonts w:cs="Arial"/>
        </w:rPr>
        <w:t>,</w:t>
      </w:r>
      <w:r w:rsidR="0061586B" w:rsidRPr="001B7DC2">
        <w:rPr>
          <w:rFonts w:cs="Arial"/>
        </w:rPr>
        <w:t xml:space="preserve"> in particular</w:t>
      </w:r>
      <w:r w:rsidR="0022288C" w:rsidRPr="001B7DC2">
        <w:rPr>
          <w:rFonts w:cs="Arial"/>
        </w:rPr>
        <w:t>,</w:t>
      </w:r>
      <w:r w:rsidR="0061586B" w:rsidRPr="001B7DC2">
        <w:rPr>
          <w:rFonts w:cs="Arial"/>
        </w:rPr>
        <w:t xml:space="preserve"> an intrinsic advantage</w:t>
      </w:r>
      <w:r w:rsidR="0047196C" w:rsidRPr="001B7DC2">
        <w:rPr>
          <w:rFonts w:cs="Arial"/>
        </w:rPr>
        <w:t xml:space="preserve"> over indirect funds, which suffer higher management costs and tax charges</w:t>
      </w:r>
      <w:r w:rsidR="0061586B" w:rsidRPr="001B7DC2">
        <w:rPr>
          <w:rFonts w:cs="Arial"/>
        </w:rPr>
        <w:t>.</w:t>
      </w:r>
      <w:r w:rsidR="0022288C" w:rsidRPr="001B7DC2">
        <w:rPr>
          <w:rFonts w:cs="Arial"/>
        </w:rPr>
        <w:t xml:space="preserve">  Taking recent results, the UK Direct portfolio produced a gross return of 5.6%</w:t>
      </w:r>
      <w:r w:rsidR="00A411C5" w:rsidRPr="001B7DC2">
        <w:rPr>
          <w:rFonts w:cs="Arial"/>
        </w:rPr>
        <w:t xml:space="preserve"> per annum</w:t>
      </w:r>
      <w:r w:rsidR="0022288C" w:rsidRPr="001B7DC2">
        <w:rPr>
          <w:rFonts w:cs="Arial"/>
        </w:rPr>
        <w:t xml:space="preserve"> and a net return of 5.00%</w:t>
      </w:r>
      <w:r w:rsidR="00A411C5" w:rsidRPr="001B7DC2">
        <w:rPr>
          <w:rFonts w:cs="Arial"/>
        </w:rPr>
        <w:t xml:space="preserve"> per annum</w:t>
      </w:r>
      <w:r w:rsidR="00800C72" w:rsidRPr="001B7DC2">
        <w:rPr>
          <w:rFonts w:cs="Arial"/>
        </w:rPr>
        <w:t xml:space="preserve">. </w:t>
      </w:r>
      <w:r w:rsidR="0022288C" w:rsidRPr="001B7DC2">
        <w:rPr>
          <w:rFonts w:cs="Arial"/>
        </w:rPr>
        <w:t xml:space="preserve">Based on </w:t>
      </w:r>
      <w:r w:rsidR="00A3494C" w:rsidRPr="001B7DC2">
        <w:rPr>
          <w:rFonts w:cs="Arial"/>
        </w:rPr>
        <w:t xml:space="preserve">recent </w:t>
      </w:r>
      <w:r w:rsidR="0022288C" w:rsidRPr="001B7DC2">
        <w:rPr>
          <w:rFonts w:cs="Arial"/>
        </w:rPr>
        <w:t xml:space="preserve">accounts from the Invesco and M&amp;G European Property Funds, in order for the Fund to receive the same net </w:t>
      </w:r>
      <w:r w:rsidR="00A411C5" w:rsidRPr="001B7DC2">
        <w:rPr>
          <w:rFonts w:cs="Arial"/>
        </w:rPr>
        <w:t xml:space="preserve">annual </w:t>
      </w:r>
      <w:r w:rsidR="0022288C" w:rsidRPr="001B7DC2">
        <w:rPr>
          <w:rFonts w:cs="Arial"/>
        </w:rPr>
        <w:t>return of 5.00%</w:t>
      </w:r>
      <w:r w:rsidR="00A3494C" w:rsidRPr="001B7DC2">
        <w:rPr>
          <w:rFonts w:cs="Arial"/>
        </w:rPr>
        <w:t xml:space="preserve">, the Invesco European Property Fund would have to have </w:t>
      </w:r>
      <w:r w:rsidR="00D6412D" w:rsidRPr="001B7DC2">
        <w:rPr>
          <w:rFonts w:cs="Arial"/>
        </w:rPr>
        <w:t>to achieve</w:t>
      </w:r>
      <w:r w:rsidR="00E45C87" w:rsidRPr="001B7DC2">
        <w:rPr>
          <w:rFonts w:cs="Arial"/>
        </w:rPr>
        <w:t xml:space="preserve"> </w:t>
      </w:r>
      <w:r w:rsidR="00A3494C" w:rsidRPr="001B7DC2">
        <w:rPr>
          <w:rFonts w:cs="Arial"/>
        </w:rPr>
        <w:t>a</w:t>
      </w:r>
      <w:r w:rsidR="00A411C5" w:rsidRPr="001B7DC2">
        <w:rPr>
          <w:rFonts w:cs="Arial"/>
        </w:rPr>
        <w:t>n annual</w:t>
      </w:r>
      <w:r w:rsidR="00A3494C" w:rsidRPr="001B7DC2">
        <w:rPr>
          <w:rFonts w:cs="Arial"/>
        </w:rPr>
        <w:t xml:space="preserve"> gross return of 7.33% and the M&amp;G European Fund a 6.8% </w:t>
      </w:r>
      <w:r w:rsidR="00A411C5" w:rsidRPr="001B7DC2">
        <w:rPr>
          <w:rFonts w:cs="Arial"/>
        </w:rPr>
        <w:t xml:space="preserve">annual </w:t>
      </w:r>
      <w:r w:rsidR="00A3494C" w:rsidRPr="001B7DC2">
        <w:rPr>
          <w:rFonts w:cs="Arial"/>
        </w:rPr>
        <w:t>gross return (A</w:t>
      </w:r>
      <w:r w:rsidR="00952B1D" w:rsidRPr="001B7DC2">
        <w:rPr>
          <w:rFonts w:cs="Arial"/>
        </w:rPr>
        <w:t>nne</w:t>
      </w:r>
      <w:r w:rsidR="00A3494C" w:rsidRPr="001B7DC2">
        <w:rPr>
          <w:rFonts w:cs="Arial"/>
        </w:rPr>
        <w:t xml:space="preserve">x </w:t>
      </w:r>
      <w:r w:rsidR="000A2955" w:rsidRPr="001B7DC2">
        <w:rPr>
          <w:rFonts w:cs="Arial"/>
        </w:rPr>
        <w:t>2</w:t>
      </w:r>
      <w:r w:rsidR="00A3494C" w:rsidRPr="001B7DC2">
        <w:rPr>
          <w:rFonts w:cs="Arial"/>
        </w:rPr>
        <w:t>).</w:t>
      </w:r>
      <w:r w:rsidR="0047196C" w:rsidRPr="001B7DC2">
        <w:rPr>
          <w:rFonts w:cs="Arial"/>
        </w:rPr>
        <w:t xml:space="preserve">  With core returns expected in the 6% to 8% </w:t>
      </w:r>
      <w:r w:rsidR="00A411C5" w:rsidRPr="001B7DC2">
        <w:rPr>
          <w:rFonts w:cs="Arial"/>
        </w:rPr>
        <w:t xml:space="preserve">per annum </w:t>
      </w:r>
      <w:r w:rsidR="0047196C" w:rsidRPr="001B7DC2">
        <w:rPr>
          <w:rFonts w:cs="Arial"/>
        </w:rPr>
        <w:t xml:space="preserve">range, the 1% to 1.5% </w:t>
      </w:r>
      <w:r w:rsidR="00A411C5" w:rsidRPr="001B7DC2">
        <w:rPr>
          <w:rFonts w:cs="Arial"/>
        </w:rPr>
        <w:t xml:space="preserve">annual </w:t>
      </w:r>
      <w:r w:rsidR="0047196C" w:rsidRPr="001B7DC2">
        <w:rPr>
          <w:rFonts w:cs="Arial"/>
        </w:rPr>
        <w:t xml:space="preserve">gross return differential that an indirect overseas fund must achieve just to match the direct UK portfolio is a significant challenge to the fund manager. </w:t>
      </w:r>
    </w:p>
    <w:p w:rsidR="00E54C64" w:rsidRPr="001B7DC2" w:rsidRDefault="00F3220F" w:rsidP="001B7DC2">
      <w:pPr>
        <w:ind w:left="720" w:hanging="720"/>
        <w:rPr>
          <w:rFonts w:cs="Arial"/>
        </w:rPr>
      </w:pPr>
      <w:r w:rsidRPr="001B7DC2">
        <w:rPr>
          <w:rFonts w:cs="Arial"/>
        </w:rPr>
        <w:t>3.14</w:t>
      </w:r>
      <w:r w:rsidRPr="001B7DC2">
        <w:rPr>
          <w:rFonts w:cs="Arial"/>
        </w:rPr>
        <w:tab/>
      </w:r>
      <w:r w:rsidR="00E54C64" w:rsidRPr="001B7DC2">
        <w:rPr>
          <w:rFonts w:cs="Arial"/>
        </w:rPr>
        <w:t>One way that a manager may boost returns is through the use of gearing.  If you can buy a quality real estate asset with a long lease and a good tenant covenant at a rental yield of 7%</w:t>
      </w:r>
      <w:r w:rsidR="00A411C5" w:rsidRPr="001B7DC2">
        <w:rPr>
          <w:rFonts w:cs="Arial"/>
        </w:rPr>
        <w:t xml:space="preserve"> per annum</w:t>
      </w:r>
      <w:r w:rsidR="00E54C64" w:rsidRPr="001B7DC2">
        <w:rPr>
          <w:rFonts w:cs="Arial"/>
        </w:rPr>
        <w:t xml:space="preserve">, then if you can fund a part of the acquisition with debt paying say 4% </w:t>
      </w:r>
      <w:r w:rsidR="00A411C5" w:rsidRPr="001B7DC2">
        <w:rPr>
          <w:rFonts w:cs="Arial"/>
        </w:rPr>
        <w:t xml:space="preserve">per annum </w:t>
      </w:r>
      <w:r w:rsidR="00E54C64" w:rsidRPr="001B7DC2">
        <w:rPr>
          <w:rFonts w:cs="Arial"/>
        </w:rPr>
        <w:t xml:space="preserve">then gearing </w:t>
      </w:r>
      <w:r w:rsidR="00952B1D" w:rsidRPr="001B7DC2">
        <w:rPr>
          <w:rFonts w:cs="Arial"/>
        </w:rPr>
        <w:t>of this sort appears</w:t>
      </w:r>
      <w:r w:rsidR="00E54C64" w:rsidRPr="001B7DC2">
        <w:rPr>
          <w:rFonts w:cs="Arial"/>
        </w:rPr>
        <w:t xml:space="preserve"> attractive provided volatility of returns stays within acceptable bounds.</w:t>
      </w:r>
    </w:p>
    <w:p w:rsidR="00E54C64" w:rsidRPr="001B7DC2" w:rsidRDefault="00F3220F" w:rsidP="001B7DC2">
      <w:pPr>
        <w:spacing w:after="0"/>
        <w:ind w:left="720" w:hanging="720"/>
        <w:jc w:val="both"/>
        <w:rPr>
          <w:rFonts w:cs="Arial"/>
        </w:rPr>
      </w:pPr>
      <w:r w:rsidRPr="001B7DC2">
        <w:rPr>
          <w:rFonts w:cs="Arial"/>
        </w:rPr>
        <w:t>3.15</w:t>
      </w:r>
      <w:r w:rsidRPr="001B7DC2">
        <w:rPr>
          <w:rFonts w:cs="Arial"/>
        </w:rPr>
        <w:tab/>
      </w:r>
      <w:r w:rsidR="00E54C64" w:rsidRPr="001B7DC2">
        <w:rPr>
          <w:rFonts w:cs="Arial"/>
        </w:rPr>
        <w:t>Gearing is commonplace in property funds to boost returns:</w:t>
      </w:r>
    </w:p>
    <w:p w:rsidR="0030037C" w:rsidRPr="001B7DC2" w:rsidRDefault="0030037C" w:rsidP="001B7DC2">
      <w:pPr>
        <w:spacing w:after="0"/>
        <w:ind w:left="720" w:hanging="720"/>
        <w:jc w:val="both"/>
        <w:rPr>
          <w:rFonts w:cs="Arial"/>
        </w:rPr>
      </w:pPr>
    </w:p>
    <w:tbl>
      <w:tblPr>
        <w:tblStyle w:val="TableGrid"/>
        <w:tblW w:w="0" w:type="auto"/>
        <w:jc w:val="center"/>
        <w:tblLook w:val="04A0"/>
      </w:tblPr>
      <w:tblGrid>
        <w:gridCol w:w="2310"/>
        <w:gridCol w:w="2476"/>
        <w:gridCol w:w="2145"/>
        <w:gridCol w:w="2311"/>
      </w:tblGrid>
      <w:tr w:rsidR="00E54C64" w:rsidRPr="001B7DC2" w:rsidTr="0030037C">
        <w:trPr>
          <w:jc w:val="center"/>
        </w:trPr>
        <w:tc>
          <w:tcPr>
            <w:tcW w:w="2310" w:type="dxa"/>
          </w:tcPr>
          <w:p w:rsidR="00E54C64" w:rsidRPr="001B7DC2" w:rsidRDefault="00E54C64" w:rsidP="001B7DC2">
            <w:pPr>
              <w:jc w:val="both"/>
              <w:rPr>
                <w:rFonts w:cs="Arial"/>
              </w:rPr>
            </w:pPr>
            <w:r w:rsidRPr="001B7DC2">
              <w:rPr>
                <w:rFonts w:cs="Arial"/>
              </w:rPr>
              <w:t>Fund</w:t>
            </w:r>
          </w:p>
        </w:tc>
        <w:tc>
          <w:tcPr>
            <w:tcW w:w="2476" w:type="dxa"/>
          </w:tcPr>
          <w:p w:rsidR="00E54C64" w:rsidRPr="001B7DC2" w:rsidRDefault="00E54C64" w:rsidP="001B7DC2">
            <w:pPr>
              <w:jc w:val="both"/>
              <w:rPr>
                <w:rFonts w:cs="Arial"/>
              </w:rPr>
            </w:pPr>
            <w:r w:rsidRPr="001B7DC2">
              <w:rPr>
                <w:rFonts w:cs="Arial"/>
              </w:rPr>
              <w:t>Gearing</w:t>
            </w:r>
          </w:p>
          <w:p w:rsidR="00E54C64" w:rsidRPr="001B7DC2" w:rsidRDefault="00E54C64" w:rsidP="001B7DC2">
            <w:pPr>
              <w:jc w:val="both"/>
              <w:rPr>
                <w:rFonts w:cs="Arial"/>
              </w:rPr>
            </w:pPr>
            <w:r w:rsidRPr="001B7DC2">
              <w:rPr>
                <w:rFonts w:cs="Arial"/>
              </w:rPr>
              <w:t>Loan to Value (LTV)</w:t>
            </w:r>
          </w:p>
        </w:tc>
        <w:tc>
          <w:tcPr>
            <w:tcW w:w="2145" w:type="dxa"/>
          </w:tcPr>
          <w:p w:rsidR="00E54C64" w:rsidRPr="001B7DC2" w:rsidRDefault="00130687" w:rsidP="001B7DC2">
            <w:pPr>
              <w:jc w:val="both"/>
              <w:rPr>
                <w:rFonts w:cs="Arial"/>
              </w:rPr>
            </w:pPr>
            <w:r w:rsidRPr="001B7DC2">
              <w:rPr>
                <w:rFonts w:cs="Arial"/>
              </w:rPr>
              <w:t xml:space="preserve">Annual return </w:t>
            </w:r>
            <w:r w:rsidR="00E54C64" w:rsidRPr="001B7DC2">
              <w:rPr>
                <w:rFonts w:cs="Arial"/>
              </w:rPr>
              <w:t>on gross asset value</w:t>
            </w:r>
          </w:p>
        </w:tc>
        <w:tc>
          <w:tcPr>
            <w:tcW w:w="2311" w:type="dxa"/>
          </w:tcPr>
          <w:p w:rsidR="00E54C64" w:rsidRPr="001B7DC2" w:rsidRDefault="00130687" w:rsidP="001B7DC2">
            <w:pPr>
              <w:jc w:val="both"/>
              <w:rPr>
                <w:rFonts w:cs="Arial"/>
              </w:rPr>
            </w:pPr>
            <w:r w:rsidRPr="001B7DC2">
              <w:rPr>
                <w:rFonts w:cs="Arial"/>
              </w:rPr>
              <w:t xml:space="preserve">Annual return </w:t>
            </w:r>
            <w:r w:rsidR="00E54C64" w:rsidRPr="001B7DC2">
              <w:rPr>
                <w:rFonts w:cs="Arial"/>
              </w:rPr>
              <w:t>on net asset value</w:t>
            </w:r>
          </w:p>
        </w:tc>
      </w:tr>
      <w:tr w:rsidR="00E54C64" w:rsidRPr="001B7DC2" w:rsidTr="0030037C">
        <w:trPr>
          <w:jc w:val="center"/>
        </w:trPr>
        <w:tc>
          <w:tcPr>
            <w:tcW w:w="2310" w:type="dxa"/>
          </w:tcPr>
          <w:p w:rsidR="00E54C64" w:rsidRPr="001B7DC2" w:rsidRDefault="00E54C64" w:rsidP="001B7DC2">
            <w:pPr>
              <w:jc w:val="both"/>
              <w:rPr>
                <w:rFonts w:cs="Arial"/>
              </w:rPr>
            </w:pPr>
          </w:p>
        </w:tc>
        <w:tc>
          <w:tcPr>
            <w:tcW w:w="2476" w:type="dxa"/>
          </w:tcPr>
          <w:p w:rsidR="00E54C64" w:rsidRPr="001B7DC2" w:rsidRDefault="00E54C64" w:rsidP="001B7DC2">
            <w:pPr>
              <w:jc w:val="both"/>
              <w:rPr>
                <w:rFonts w:cs="Arial"/>
              </w:rPr>
            </w:pPr>
          </w:p>
        </w:tc>
        <w:tc>
          <w:tcPr>
            <w:tcW w:w="2145" w:type="dxa"/>
          </w:tcPr>
          <w:p w:rsidR="00E54C64" w:rsidRPr="001B7DC2" w:rsidRDefault="00E54C64" w:rsidP="001B7DC2">
            <w:pPr>
              <w:jc w:val="both"/>
              <w:rPr>
                <w:rFonts w:cs="Arial"/>
              </w:rPr>
            </w:pPr>
          </w:p>
        </w:tc>
        <w:tc>
          <w:tcPr>
            <w:tcW w:w="2311" w:type="dxa"/>
          </w:tcPr>
          <w:p w:rsidR="00E54C64" w:rsidRPr="001B7DC2" w:rsidRDefault="00E54C64" w:rsidP="001B7DC2">
            <w:pPr>
              <w:jc w:val="both"/>
              <w:rPr>
                <w:rFonts w:cs="Arial"/>
              </w:rPr>
            </w:pPr>
          </w:p>
        </w:tc>
      </w:tr>
      <w:tr w:rsidR="00E54C64" w:rsidRPr="001B7DC2" w:rsidTr="0030037C">
        <w:trPr>
          <w:jc w:val="center"/>
        </w:trPr>
        <w:tc>
          <w:tcPr>
            <w:tcW w:w="2310" w:type="dxa"/>
          </w:tcPr>
          <w:p w:rsidR="00E54C64" w:rsidRPr="001B7DC2" w:rsidRDefault="00E54C64" w:rsidP="001B7DC2">
            <w:pPr>
              <w:jc w:val="both"/>
              <w:rPr>
                <w:rFonts w:cs="Arial"/>
              </w:rPr>
            </w:pPr>
            <w:r w:rsidRPr="001B7DC2">
              <w:rPr>
                <w:rFonts w:cs="Arial"/>
              </w:rPr>
              <w:t>M&amp;G European</w:t>
            </w:r>
          </w:p>
        </w:tc>
        <w:tc>
          <w:tcPr>
            <w:tcW w:w="2476" w:type="dxa"/>
          </w:tcPr>
          <w:p w:rsidR="00E54C64" w:rsidRPr="001B7DC2" w:rsidRDefault="00E54C64" w:rsidP="001B7DC2">
            <w:pPr>
              <w:jc w:val="both"/>
              <w:rPr>
                <w:rFonts w:cs="Arial"/>
              </w:rPr>
            </w:pPr>
            <w:r w:rsidRPr="001B7DC2">
              <w:rPr>
                <w:rFonts w:cs="Arial"/>
              </w:rPr>
              <w:t>23%</w:t>
            </w:r>
          </w:p>
        </w:tc>
        <w:tc>
          <w:tcPr>
            <w:tcW w:w="2145" w:type="dxa"/>
          </w:tcPr>
          <w:p w:rsidR="00E54C64" w:rsidRPr="001B7DC2" w:rsidRDefault="00E54C64" w:rsidP="001B7DC2">
            <w:pPr>
              <w:jc w:val="both"/>
              <w:rPr>
                <w:rFonts w:cs="Arial"/>
              </w:rPr>
            </w:pPr>
            <w:r w:rsidRPr="001B7DC2">
              <w:rPr>
                <w:rFonts w:cs="Arial"/>
              </w:rPr>
              <w:t>6.1%</w:t>
            </w:r>
          </w:p>
        </w:tc>
        <w:tc>
          <w:tcPr>
            <w:tcW w:w="2311" w:type="dxa"/>
          </w:tcPr>
          <w:p w:rsidR="00E54C64" w:rsidRPr="001B7DC2" w:rsidRDefault="00E54C64" w:rsidP="001B7DC2">
            <w:pPr>
              <w:jc w:val="both"/>
              <w:rPr>
                <w:rFonts w:cs="Arial"/>
              </w:rPr>
            </w:pPr>
            <w:r w:rsidRPr="001B7DC2">
              <w:rPr>
                <w:rFonts w:cs="Arial"/>
              </w:rPr>
              <w:t>6.6%</w:t>
            </w:r>
          </w:p>
        </w:tc>
      </w:tr>
      <w:tr w:rsidR="00E54C64" w:rsidRPr="001B7DC2" w:rsidTr="0030037C">
        <w:trPr>
          <w:jc w:val="center"/>
        </w:trPr>
        <w:tc>
          <w:tcPr>
            <w:tcW w:w="2310" w:type="dxa"/>
          </w:tcPr>
          <w:p w:rsidR="00E54C64" w:rsidRPr="001B7DC2" w:rsidRDefault="00E54C64" w:rsidP="001B7DC2">
            <w:pPr>
              <w:jc w:val="both"/>
              <w:rPr>
                <w:rFonts w:cs="Arial"/>
              </w:rPr>
            </w:pPr>
            <w:r w:rsidRPr="001B7DC2">
              <w:rPr>
                <w:rFonts w:cs="Arial"/>
              </w:rPr>
              <w:t>Invesco European</w:t>
            </w:r>
          </w:p>
        </w:tc>
        <w:tc>
          <w:tcPr>
            <w:tcW w:w="2476" w:type="dxa"/>
          </w:tcPr>
          <w:p w:rsidR="00E54C64" w:rsidRPr="001B7DC2" w:rsidRDefault="00E54C64" w:rsidP="001B7DC2">
            <w:pPr>
              <w:jc w:val="both"/>
              <w:rPr>
                <w:rFonts w:cs="Arial"/>
              </w:rPr>
            </w:pPr>
            <w:r w:rsidRPr="001B7DC2">
              <w:rPr>
                <w:rFonts w:cs="Arial"/>
              </w:rPr>
              <w:t>37%</w:t>
            </w:r>
          </w:p>
        </w:tc>
        <w:tc>
          <w:tcPr>
            <w:tcW w:w="2145" w:type="dxa"/>
          </w:tcPr>
          <w:p w:rsidR="00E54C64" w:rsidRPr="001B7DC2" w:rsidRDefault="00E54C64" w:rsidP="001B7DC2">
            <w:pPr>
              <w:jc w:val="both"/>
              <w:rPr>
                <w:rFonts w:cs="Arial"/>
              </w:rPr>
            </w:pPr>
            <w:r w:rsidRPr="001B7DC2">
              <w:rPr>
                <w:rFonts w:cs="Arial"/>
              </w:rPr>
              <w:t>3.9%</w:t>
            </w:r>
          </w:p>
        </w:tc>
        <w:tc>
          <w:tcPr>
            <w:tcW w:w="2311" w:type="dxa"/>
          </w:tcPr>
          <w:p w:rsidR="00E54C64" w:rsidRPr="001B7DC2" w:rsidRDefault="00E54C64" w:rsidP="001B7DC2">
            <w:pPr>
              <w:jc w:val="both"/>
              <w:rPr>
                <w:rFonts w:cs="Arial"/>
              </w:rPr>
            </w:pPr>
            <w:r w:rsidRPr="001B7DC2">
              <w:rPr>
                <w:rFonts w:cs="Arial"/>
              </w:rPr>
              <w:t>4.5%</w:t>
            </w:r>
          </w:p>
        </w:tc>
      </w:tr>
      <w:tr w:rsidR="00E54C64" w:rsidRPr="001B7DC2" w:rsidTr="0030037C">
        <w:trPr>
          <w:jc w:val="center"/>
        </w:trPr>
        <w:tc>
          <w:tcPr>
            <w:tcW w:w="2310" w:type="dxa"/>
          </w:tcPr>
          <w:p w:rsidR="00E54C64" w:rsidRPr="001B7DC2" w:rsidRDefault="00E54C64" w:rsidP="001B7DC2">
            <w:pPr>
              <w:jc w:val="both"/>
              <w:rPr>
                <w:rFonts w:cs="Arial"/>
              </w:rPr>
            </w:pPr>
            <w:r w:rsidRPr="001B7DC2">
              <w:rPr>
                <w:rFonts w:cs="Arial"/>
              </w:rPr>
              <w:t>M&amp;G Asian</w:t>
            </w:r>
          </w:p>
        </w:tc>
        <w:tc>
          <w:tcPr>
            <w:tcW w:w="2476" w:type="dxa"/>
          </w:tcPr>
          <w:p w:rsidR="00E54C64" w:rsidRPr="001B7DC2" w:rsidRDefault="00E54C64" w:rsidP="001B7DC2">
            <w:pPr>
              <w:jc w:val="both"/>
              <w:rPr>
                <w:rFonts w:cs="Arial"/>
              </w:rPr>
            </w:pPr>
            <w:r w:rsidRPr="001B7DC2">
              <w:rPr>
                <w:rFonts w:cs="Arial"/>
              </w:rPr>
              <w:t>17%</w:t>
            </w:r>
          </w:p>
        </w:tc>
        <w:tc>
          <w:tcPr>
            <w:tcW w:w="2145" w:type="dxa"/>
          </w:tcPr>
          <w:p w:rsidR="00E54C64" w:rsidRPr="001B7DC2" w:rsidRDefault="00E54C64" w:rsidP="001B7DC2">
            <w:pPr>
              <w:jc w:val="both"/>
              <w:rPr>
                <w:rFonts w:cs="Arial"/>
              </w:rPr>
            </w:pPr>
            <w:r w:rsidRPr="001B7DC2">
              <w:rPr>
                <w:rFonts w:cs="Arial"/>
              </w:rPr>
              <w:t>7.5%</w:t>
            </w:r>
          </w:p>
        </w:tc>
        <w:tc>
          <w:tcPr>
            <w:tcW w:w="2311" w:type="dxa"/>
          </w:tcPr>
          <w:p w:rsidR="00E54C64" w:rsidRPr="001B7DC2" w:rsidRDefault="00E54C64" w:rsidP="001B7DC2">
            <w:pPr>
              <w:jc w:val="both"/>
              <w:rPr>
                <w:rFonts w:cs="Arial"/>
              </w:rPr>
            </w:pPr>
            <w:r w:rsidRPr="001B7DC2">
              <w:rPr>
                <w:rFonts w:cs="Arial"/>
              </w:rPr>
              <w:t>7.8%</w:t>
            </w:r>
          </w:p>
        </w:tc>
      </w:tr>
      <w:tr w:rsidR="00E54C64" w:rsidRPr="001B7DC2" w:rsidTr="0030037C">
        <w:trPr>
          <w:jc w:val="center"/>
        </w:trPr>
        <w:tc>
          <w:tcPr>
            <w:tcW w:w="2310" w:type="dxa"/>
          </w:tcPr>
          <w:p w:rsidR="00E54C64" w:rsidRPr="001B7DC2" w:rsidRDefault="00E54C64" w:rsidP="001B7DC2">
            <w:pPr>
              <w:jc w:val="both"/>
              <w:rPr>
                <w:rFonts w:cs="Arial"/>
              </w:rPr>
            </w:pPr>
            <w:r w:rsidRPr="001B7DC2">
              <w:rPr>
                <w:rFonts w:cs="Arial"/>
              </w:rPr>
              <w:t>Invesco Core US</w:t>
            </w:r>
          </w:p>
        </w:tc>
        <w:tc>
          <w:tcPr>
            <w:tcW w:w="2476" w:type="dxa"/>
          </w:tcPr>
          <w:p w:rsidR="00E54C64" w:rsidRPr="001B7DC2" w:rsidRDefault="00E54C64" w:rsidP="001B7DC2">
            <w:pPr>
              <w:jc w:val="both"/>
              <w:rPr>
                <w:rFonts w:cs="Arial"/>
              </w:rPr>
            </w:pPr>
            <w:r w:rsidRPr="001B7DC2">
              <w:rPr>
                <w:rFonts w:cs="Arial"/>
              </w:rPr>
              <w:t>10%</w:t>
            </w:r>
          </w:p>
        </w:tc>
        <w:tc>
          <w:tcPr>
            <w:tcW w:w="2145" w:type="dxa"/>
          </w:tcPr>
          <w:p w:rsidR="00E54C64" w:rsidRPr="001B7DC2" w:rsidRDefault="00E54C64" w:rsidP="001B7DC2">
            <w:pPr>
              <w:jc w:val="both"/>
              <w:rPr>
                <w:rFonts w:cs="Arial"/>
              </w:rPr>
            </w:pPr>
            <w:r w:rsidRPr="001B7DC2">
              <w:rPr>
                <w:rFonts w:cs="Arial"/>
              </w:rPr>
              <w:t>5.6%</w:t>
            </w:r>
          </w:p>
        </w:tc>
        <w:tc>
          <w:tcPr>
            <w:tcW w:w="2311" w:type="dxa"/>
          </w:tcPr>
          <w:p w:rsidR="00E54C64" w:rsidRPr="001B7DC2" w:rsidRDefault="00E54C64" w:rsidP="001B7DC2">
            <w:pPr>
              <w:jc w:val="both"/>
              <w:rPr>
                <w:rFonts w:cs="Arial"/>
              </w:rPr>
            </w:pPr>
            <w:r w:rsidRPr="001B7DC2">
              <w:rPr>
                <w:rFonts w:cs="Arial"/>
              </w:rPr>
              <w:t>5.8%</w:t>
            </w:r>
          </w:p>
        </w:tc>
      </w:tr>
    </w:tbl>
    <w:p w:rsidR="00E54C64" w:rsidRPr="001B7DC2" w:rsidRDefault="00E54C64" w:rsidP="001B7DC2">
      <w:pPr>
        <w:jc w:val="both"/>
        <w:rPr>
          <w:rFonts w:cs="Arial"/>
        </w:rPr>
      </w:pPr>
    </w:p>
    <w:p w:rsidR="00E54C64" w:rsidRPr="001B7DC2" w:rsidRDefault="00E54C64" w:rsidP="001B7DC2">
      <w:pPr>
        <w:ind w:left="720"/>
        <w:jc w:val="both"/>
        <w:rPr>
          <w:rFonts w:cs="Arial"/>
        </w:rPr>
      </w:pPr>
      <w:r w:rsidRPr="001B7DC2">
        <w:rPr>
          <w:rFonts w:cs="Arial"/>
        </w:rPr>
        <w:lastRenderedPageBreak/>
        <w:t>The above table shows that p</w:t>
      </w:r>
      <w:r w:rsidR="003734C0" w:rsidRPr="001B7DC2">
        <w:rPr>
          <w:rFonts w:cs="Arial"/>
        </w:rPr>
        <w:t>roperty fund managers</w:t>
      </w:r>
      <w:r w:rsidR="000A2955" w:rsidRPr="001B7DC2">
        <w:rPr>
          <w:rFonts w:cs="Arial"/>
        </w:rPr>
        <w:t>’</w:t>
      </w:r>
      <w:r w:rsidR="003734C0" w:rsidRPr="001B7DC2">
        <w:rPr>
          <w:rFonts w:cs="Arial"/>
        </w:rPr>
        <w:t xml:space="preserve"> use </w:t>
      </w:r>
      <w:r w:rsidR="000A2955" w:rsidRPr="001B7DC2">
        <w:rPr>
          <w:rFonts w:cs="Arial"/>
        </w:rPr>
        <w:t xml:space="preserve">of </w:t>
      </w:r>
      <w:r w:rsidR="003734C0" w:rsidRPr="001B7DC2">
        <w:rPr>
          <w:rFonts w:cs="Arial"/>
        </w:rPr>
        <w:t>gearing recover</w:t>
      </w:r>
      <w:r w:rsidR="000A2955" w:rsidRPr="001B7DC2">
        <w:rPr>
          <w:rFonts w:cs="Arial"/>
        </w:rPr>
        <w:t>s</w:t>
      </w:r>
      <w:r w:rsidR="003734C0" w:rsidRPr="001B7DC2">
        <w:rPr>
          <w:rFonts w:cs="Arial"/>
        </w:rPr>
        <w:t xml:space="preserve"> about half the intrinsic cost </w:t>
      </w:r>
      <w:r w:rsidR="00D6412D" w:rsidRPr="001B7DC2">
        <w:rPr>
          <w:rFonts w:cs="Arial"/>
        </w:rPr>
        <w:t xml:space="preserve">disadvantage of fund structures </w:t>
      </w:r>
      <w:r w:rsidR="000A2955" w:rsidRPr="001B7DC2">
        <w:rPr>
          <w:rFonts w:cs="Arial"/>
        </w:rPr>
        <w:t>compared with direct investment discussed above.</w:t>
      </w:r>
    </w:p>
    <w:p w:rsidR="008E2BC9" w:rsidRPr="001B7DC2" w:rsidRDefault="000F680D" w:rsidP="001B7DC2">
      <w:pPr>
        <w:ind w:left="720" w:hanging="720"/>
        <w:jc w:val="both"/>
        <w:rPr>
          <w:rFonts w:cs="Arial"/>
        </w:rPr>
      </w:pPr>
      <w:r w:rsidRPr="001B7DC2">
        <w:rPr>
          <w:rFonts w:cs="Arial"/>
        </w:rPr>
        <w:t>3.16</w:t>
      </w:r>
      <w:r w:rsidRPr="001B7DC2">
        <w:rPr>
          <w:rFonts w:cs="Arial"/>
        </w:rPr>
        <w:tab/>
      </w:r>
      <w:r w:rsidR="00E54C64" w:rsidRPr="001B7DC2">
        <w:rPr>
          <w:rFonts w:cs="Arial"/>
        </w:rPr>
        <w:t xml:space="preserve">If investing in indirect funds, exposure to some gearing </w:t>
      </w:r>
      <w:r w:rsidR="00952B1D" w:rsidRPr="001B7DC2">
        <w:rPr>
          <w:rFonts w:cs="Arial"/>
        </w:rPr>
        <w:t>i</w:t>
      </w:r>
      <w:r w:rsidR="003734C0" w:rsidRPr="001B7DC2">
        <w:rPr>
          <w:rFonts w:cs="Arial"/>
        </w:rPr>
        <w:t>s</w:t>
      </w:r>
      <w:r w:rsidR="00E54C64" w:rsidRPr="001B7DC2">
        <w:rPr>
          <w:rFonts w:cs="Arial"/>
        </w:rPr>
        <w:t xml:space="preserve"> inevitable.  To minimise the risks involved, the Fund should only invest in property funds with limited gearing (</w:t>
      </w:r>
      <w:r w:rsidR="00B140FD" w:rsidRPr="001B7DC2">
        <w:rPr>
          <w:rFonts w:cs="Arial"/>
        </w:rPr>
        <w:t>to a proposed</w:t>
      </w:r>
      <w:r w:rsidR="00E54C64" w:rsidRPr="001B7DC2">
        <w:rPr>
          <w:rFonts w:cs="Arial"/>
        </w:rPr>
        <w:t xml:space="preserve"> ma</w:t>
      </w:r>
      <w:r w:rsidR="003734C0" w:rsidRPr="001B7DC2">
        <w:rPr>
          <w:rFonts w:cs="Arial"/>
        </w:rPr>
        <w:t xml:space="preserve">ximum </w:t>
      </w:r>
      <w:r w:rsidR="00B140FD" w:rsidRPr="001B7DC2">
        <w:rPr>
          <w:rFonts w:cs="Arial"/>
        </w:rPr>
        <w:t xml:space="preserve">of </w:t>
      </w:r>
      <w:r w:rsidR="003734C0" w:rsidRPr="001B7DC2">
        <w:rPr>
          <w:rFonts w:cs="Arial"/>
        </w:rPr>
        <w:t>50%).</w:t>
      </w:r>
      <w:r w:rsidR="00130687" w:rsidRPr="001B7DC2">
        <w:rPr>
          <w:rFonts w:cs="Arial"/>
        </w:rPr>
        <w:t xml:space="preserve">  </w:t>
      </w:r>
    </w:p>
    <w:p w:rsidR="003619B9" w:rsidRPr="001B7DC2" w:rsidRDefault="000F680D" w:rsidP="001B7DC2">
      <w:pPr>
        <w:ind w:left="720" w:hanging="720"/>
        <w:jc w:val="both"/>
        <w:rPr>
          <w:rFonts w:cs="Arial"/>
        </w:rPr>
      </w:pPr>
      <w:r w:rsidRPr="001B7DC2">
        <w:rPr>
          <w:rFonts w:cs="Arial"/>
        </w:rPr>
        <w:t>3.17</w:t>
      </w:r>
      <w:r w:rsidRPr="001B7DC2">
        <w:rPr>
          <w:rFonts w:cs="Arial"/>
        </w:rPr>
        <w:tab/>
      </w:r>
      <w:r w:rsidR="008E2BC9" w:rsidRPr="001B7DC2">
        <w:rPr>
          <w:rFonts w:cs="Arial"/>
        </w:rPr>
        <w:t>The risk (and opportunity) in gearing is that movements in capital values are magnified.  For example, if the property market moves by 10%, while an ungeared investment will increase or decrease in value by 10%, a fund with 50% gearing will rise or fall by 20%.  In view of the increased volatility brought by gearing, t</w:t>
      </w:r>
      <w:r w:rsidR="003619B9" w:rsidRPr="001B7DC2">
        <w:rPr>
          <w:rFonts w:cs="Arial"/>
        </w:rPr>
        <w:t xml:space="preserve">he Fund </w:t>
      </w:r>
      <w:r w:rsidR="008E2BC9" w:rsidRPr="001B7DC2">
        <w:rPr>
          <w:rFonts w:cs="Arial"/>
        </w:rPr>
        <w:t>currently does not have any leverage in its direct UK portfolio</w:t>
      </w:r>
      <w:r w:rsidR="00130687" w:rsidRPr="001B7DC2">
        <w:rPr>
          <w:rFonts w:cs="Arial"/>
        </w:rPr>
        <w:t>.</w:t>
      </w:r>
      <w:r w:rsidR="00B61C0D" w:rsidRPr="001B7DC2">
        <w:rPr>
          <w:rFonts w:cs="Arial"/>
        </w:rPr>
        <w:t xml:space="preserve">  However, such gearing does offer experienced managers a way of achieving out-performance against property benchmarks. </w:t>
      </w:r>
    </w:p>
    <w:p w:rsidR="003734C0" w:rsidRPr="001B7DC2" w:rsidRDefault="000F680D" w:rsidP="001B7DC2">
      <w:pPr>
        <w:ind w:left="720" w:hanging="720"/>
        <w:jc w:val="both"/>
        <w:rPr>
          <w:rFonts w:cs="Arial"/>
        </w:rPr>
      </w:pPr>
      <w:r w:rsidRPr="001B7DC2">
        <w:rPr>
          <w:rFonts w:cs="Arial"/>
        </w:rPr>
        <w:t>3.18</w:t>
      </w:r>
      <w:r w:rsidRPr="001B7DC2">
        <w:rPr>
          <w:rFonts w:cs="Arial"/>
        </w:rPr>
        <w:tab/>
      </w:r>
      <w:r w:rsidR="00D6412D" w:rsidRPr="001B7DC2">
        <w:rPr>
          <w:rFonts w:cs="Arial"/>
        </w:rPr>
        <w:t xml:space="preserve">The Fund’s current property holdings, being around £450m in its direct UK portfolio and £125m </w:t>
      </w:r>
      <w:r w:rsidR="00F7350B" w:rsidRPr="001B7DC2">
        <w:rPr>
          <w:rFonts w:cs="Arial"/>
        </w:rPr>
        <w:t xml:space="preserve">approved for investment in </w:t>
      </w:r>
      <w:r w:rsidR="00D6412D" w:rsidRPr="001B7DC2">
        <w:rPr>
          <w:rFonts w:cs="Arial"/>
        </w:rPr>
        <w:t>two core European property funds</w:t>
      </w:r>
      <w:r w:rsidR="00F7350B" w:rsidRPr="001B7DC2">
        <w:rPr>
          <w:rFonts w:cs="Arial"/>
        </w:rPr>
        <w:t xml:space="preserve"> represents the full proposed allocation to core property.  The 80:20 split between direct UK investment and indirect overseas investment is appropriate given the intrinsic advantage of UK direct.  The diversification to </w:t>
      </w:r>
      <w:r w:rsidR="0028455A" w:rsidRPr="001B7DC2">
        <w:rPr>
          <w:rFonts w:cs="Arial"/>
        </w:rPr>
        <w:t xml:space="preserve">only </w:t>
      </w:r>
      <w:r w:rsidR="00F7350B" w:rsidRPr="001B7DC2">
        <w:rPr>
          <w:rFonts w:cs="Arial"/>
        </w:rPr>
        <w:t xml:space="preserve">core Northern European property </w:t>
      </w:r>
      <w:r w:rsidR="0028455A" w:rsidRPr="001B7DC2">
        <w:rPr>
          <w:rFonts w:cs="Arial"/>
        </w:rPr>
        <w:t xml:space="preserve">means that the Fund is unable to benefit from diversification into markets less correlated with the UK and those developing countries with higher forecast GDPs </w:t>
      </w:r>
      <w:r w:rsidR="00994351" w:rsidRPr="001B7DC2">
        <w:rPr>
          <w:rFonts w:cs="Arial"/>
        </w:rPr>
        <w:t>or</w:t>
      </w:r>
      <w:r w:rsidR="0028455A" w:rsidRPr="001B7DC2">
        <w:rPr>
          <w:rFonts w:cs="Arial"/>
        </w:rPr>
        <w:t xml:space="preserve"> from diversification into other property sectors such as an exposure to residential property.</w:t>
      </w:r>
    </w:p>
    <w:p w:rsidR="0028455A" w:rsidRPr="001B7DC2" w:rsidRDefault="000F680D" w:rsidP="001B7DC2">
      <w:pPr>
        <w:ind w:left="720" w:hanging="720"/>
        <w:jc w:val="both"/>
        <w:rPr>
          <w:rFonts w:cs="Arial"/>
        </w:rPr>
      </w:pPr>
      <w:r w:rsidRPr="001B7DC2">
        <w:rPr>
          <w:rFonts w:cs="Arial"/>
        </w:rPr>
        <w:t>3.19</w:t>
      </w:r>
      <w:r w:rsidRPr="001B7DC2">
        <w:rPr>
          <w:rFonts w:cs="Arial"/>
        </w:rPr>
        <w:tab/>
      </w:r>
      <w:r w:rsidR="0028455A" w:rsidRPr="001B7DC2">
        <w:rPr>
          <w:rFonts w:cs="Arial"/>
        </w:rPr>
        <w:t xml:space="preserve">It is proposed that the Fund build a diversified core property portfolio based on the </w:t>
      </w:r>
      <w:r w:rsidR="00671E34" w:rsidRPr="001B7DC2">
        <w:rPr>
          <w:rFonts w:cs="Arial"/>
        </w:rPr>
        <w:t xml:space="preserve">existing UK direct core </w:t>
      </w:r>
      <w:r w:rsidR="00165CA1" w:rsidRPr="001B7DC2">
        <w:rPr>
          <w:rFonts w:cs="Arial"/>
        </w:rPr>
        <w:t>account</w:t>
      </w:r>
      <w:r w:rsidR="00671E34" w:rsidRPr="001B7DC2">
        <w:rPr>
          <w:rFonts w:cs="Arial"/>
        </w:rPr>
        <w:t xml:space="preserve"> surrounded by fund investments offering exposure to core property returns in </w:t>
      </w:r>
      <w:r w:rsidR="00165CA1" w:rsidRPr="001B7DC2">
        <w:rPr>
          <w:rFonts w:cs="Arial"/>
        </w:rPr>
        <w:t xml:space="preserve">other sectors and </w:t>
      </w:r>
      <w:r w:rsidR="00671E34" w:rsidRPr="001B7DC2">
        <w:rPr>
          <w:rFonts w:cs="Arial"/>
        </w:rPr>
        <w:t xml:space="preserve">overseas countries favouring those with less correlation with the UK and </w:t>
      </w:r>
      <w:r w:rsidR="00DA52DA" w:rsidRPr="001B7DC2">
        <w:rPr>
          <w:rFonts w:cs="Arial"/>
        </w:rPr>
        <w:t>those with prospects of returns higher than expected in the UK</w:t>
      </w:r>
      <w:r w:rsidR="00671E34" w:rsidRPr="001B7DC2">
        <w:rPr>
          <w:rFonts w:cs="Arial"/>
        </w:rPr>
        <w:t>.  A property manager able to adjust fund weightings between regions and countries may be appropriate to take account of changing circumstances.</w:t>
      </w:r>
      <w:r w:rsidR="00165CA1" w:rsidRPr="001B7DC2">
        <w:rPr>
          <w:rFonts w:cs="Arial"/>
        </w:rPr>
        <w:t xml:space="preserve">  </w:t>
      </w:r>
      <w:r w:rsidR="000A2955" w:rsidRPr="001B7DC2">
        <w:rPr>
          <w:rFonts w:cs="Arial"/>
        </w:rPr>
        <w:t xml:space="preserve">CBRE, for example, run a global multimanager core property product, presently returning 9% </w:t>
      </w:r>
      <w:r w:rsidR="001F48DC" w:rsidRPr="001B7DC2">
        <w:rPr>
          <w:rFonts w:cs="Arial"/>
        </w:rPr>
        <w:t xml:space="preserve">per annum </w:t>
      </w:r>
      <w:r w:rsidR="000A2955" w:rsidRPr="001B7DC2">
        <w:rPr>
          <w:rFonts w:cs="Arial"/>
        </w:rPr>
        <w:t xml:space="preserve">net to investors.  </w:t>
      </w:r>
      <w:r w:rsidR="00165CA1" w:rsidRPr="001B7DC2">
        <w:rPr>
          <w:rFonts w:cs="Arial"/>
        </w:rPr>
        <w:t xml:space="preserve">The existing approved European core funds </w:t>
      </w:r>
      <w:r w:rsidR="00994351" w:rsidRPr="001B7DC2">
        <w:rPr>
          <w:rFonts w:cs="Arial"/>
        </w:rPr>
        <w:t>c</w:t>
      </w:r>
      <w:r w:rsidR="00165CA1" w:rsidRPr="001B7DC2">
        <w:rPr>
          <w:rFonts w:cs="Arial"/>
        </w:rPr>
        <w:t>ould have a place in the portfolio, but the scale of the allocation would need to be reduced in order to include other funds</w:t>
      </w:r>
      <w:r w:rsidR="00331E33" w:rsidRPr="001B7DC2">
        <w:rPr>
          <w:rFonts w:cs="Arial"/>
        </w:rPr>
        <w:t xml:space="preserve"> offering some alternative geographical diversification and exposure</w:t>
      </w:r>
      <w:r w:rsidR="00165CA1" w:rsidRPr="001B7DC2">
        <w:rPr>
          <w:rFonts w:cs="Arial"/>
        </w:rPr>
        <w:t>.</w:t>
      </w:r>
    </w:p>
    <w:p w:rsidR="00BC735F" w:rsidRPr="001B7DC2" w:rsidRDefault="000F680D" w:rsidP="001B7DC2">
      <w:pPr>
        <w:keepLines/>
        <w:ind w:left="720" w:hanging="720"/>
        <w:jc w:val="both"/>
        <w:rPr>
          <w:rFonts w:cs="Arial"/>
        </w:rPr>
      </w:pPr>
      <w:r w:rsidRPr="001B7DC2">
        <w:rPr>
          <w:rFonts w:cs="Arial"/>
        </w:rPr>
        <w:t>3.20</w:t>
      </w:r>
      <w:r w:rsidRPr="001B7DC2">
        <w:rPr>
          <w:rFonts w:cs="Arial"/>
        </w:rPr>
        <w:tab/>
      </w:r>
      <w:r w:rsidR="00A979FE" w:rsidRPr="001B7DC2">
        <w:rPr>
          <w:rFonts w:cs="Arial"/>
        </w:rPr>
        <w:t xml:space="preserve">The investment mandate of the existing direct UK portfolio will need to be set as an absolute return mandate to be achieved from continuing investment in a wide range of UK property.  The UK property investment mandate procurement process currently in its planning stage will incorporate the overall property strategy as well as prudential limits as to the level of risk that the UK portfolio may take in terms of </w:t>
      </w:r>
      <w:r w:rsidR="002F28F5" w:rsidRPr="001B7DC2">
        <w:rPr>
          <w:rFonts w:cs="Arial"/>
        </w:rPr>
        <w:t xml:space="preserve">lot size, single tenant exposure, construction risk, </w:t>
      </w:r>
      <w:r w:rsidR="00A979FE" w:rsidRPr="001B7DC2">
        <w:rPr>
          <w:rFonts w:cs="Arial"/>
        </w:rPr>
        <w:t>development and acquisition of vacant properties.</w:t>
      </w:r>
      <w:r w:rsidR="002F28F5" w:rsidRPr="001B7DC2">
        <w:rPr>
          <w:rFonts w:cs="Arial"/>
        </w:rPr>
        <w:t xml:space="preserve">  The new UK direct investment mandate is planned to be a discretionary mandate with an advisory-board style consultation mechanism as used by many indirect property funds.  </w:t>
      </w:r>
    </w:p>
    <w:p w:rsidR="00BC735F" w:rsidRPr="001B7DC2" w:rsidRDefault="000F680D" w:rsidP="001B7DC2">
      <w:pPr>
        <w:keepLines/>
        <w:spacing w:after="0"/>
        <w:ind w:left="720" w:hanging="720"/>
        <w:jc w:val="both"/>
        <w:rPr>
          <w:rFonts w:cs="Arial"/>
        </w:rPr>
      </w:pPr>
      <w:r w:rsidRPr="001B7DC2">
        <w:rPr>
          <w:rFonts w:cs="Arial"/>
        </w:rPr>
        <w:lastRenderedPageBreak/>
        <w:t>3.21</w:t>
      </w:r>
      <w:r w:rsidRPr="001B7DC2">
        <w:rPr>
          <w:rFonts w:cs="Arial"/>
        </w:rPr>
        <w:tab/>
      </w:r>
      <w:r w:rsidR="00165CA1" w:rsidRPr="001B7DC2">
        <w:rPr>
          <w:rFonts w:cs="Arial"/>
        </w:rPr>
        <w:t xml:space="preserve">It is proposed that investment due diligence be commissioned to assist the Fund is designing its core property portfolio with a view to </w:t>
      </w:r>
      <w:r w:rsidR="003619B9" w:rsidRPr="001B7DC2">
        <w:rPr>
          <w:rFonts w:cs="Arial"/>
        </w:rPr>
        <w:t xml:space="preserve">creating a diversified portfolio </w:t>
      </w:r>
      <w:r w:rsidR="00165CA1" w:rsidRPr="001B7DC2">
        <w:rPr>
          <w:rFonts w:cs="Arial"/>
        </w:rPr>
        <w:t>minimising corr</w:t>
      </w:r>
      <w:r w:rsidR="00C23200" w:rsidRPr="001B7DC2">
        <w:rPr>
          <w:rFonts w:cs="Arial"/>
        </w:rPr>
        <w:t>elation of returns between components</w:t>
      </w:r>
      <w:r w:rsidR="00165CA1" w:rsidRPr="001B7DC2">
        <w:rPr>
          <w:rFonts w:cs="Arial"/>
        </w:rPr>
        <w:t xml:space="preserve"> </w:t>
      </w:r>
      <w:r w:rsidR="001303AD" w:rsidRPr="001B7DC2">
        <w:rPr>
          <w:rFonts w:cs="Arial"/>
        </w:rPr>
        <w:t xml:space="preserve">where possible </w:t>
      </w:r>
      <w:r w:rsidR="00165CA1" w:rsidRPr="001B7DC2">
        <w:rPr>
          <w:rFonts w:cs="Arial"/>
        </w:rPr>
        <w:t xml:space="preserve">and constructing a portfolio able to deliver the 6% to 8% </w:t>
      </w:r>
      <w:r w:rsidR="00263B59" w:rsidRPr="001B7DC2">
        <w:rPr>
          <w:rFonts w:cs="Arial"/>
        </w:rPr>
        <w:t xml:space="preserve">annual </w:t>
      </w:r>
      <w:r w:rsidR="00165CA1" w:rsidRPr="001B7DC2">
        <w:rPr>
          <w:rFonts w:cs="Arial"/>
        </w:rPr>
        <w:t>absolute returns required.</w:t>
      </w:r>
    </w:p>
    <w:p w:rsidR="00BC735F" w:rsidRPr="001B7DC2" w:rsidRDefault="00BC735F" w:rsidP="001B7DC2">
      <w:pPr>
        <w:keepLines/>
        <w:spacing w:after="0"/>
        <w:rPr>
          <w:rFonts w:cs="Arial"/>
        </w:rPr>
      </w:pPr>
    </w:p>
    <w:p w:rsidR="00563F2F" w:rsidRDefault="00935F3C" w:rsidP="001B7DC2">
      <w:pPr>
        <w:pStyle w:val="ListParagraph"/>
        <w:numPr>
          <w:ilvl w:val="0"/>
          <w:numId w:val="2"/>
        </w:numPr>
        <w:spacing w:after="0"/>
        <w:rPr>
          <w:rFonts w:eastAsiaTheme="minorHAnsi" w:cs="Arial"/>
          <w:b/>
          <w:bCs/>
          <w:iCs/>
          <w:color w:val="auto"/>
        </w:rPr>
      </w:pPr>
      <w:r w:rsidRPr="001B7DC2">
        <w:rPr>
          <w:rFonts w:eastAsiaTheme="minorHAnsi" w:cs="Arial"/>
          <w:b/>
          <w:bCs/>
          <w:iCs/>
          <w:color w:val="auto"/>
        </w:rPr>
        <w:t>Specialist / Opportunity Portfolio</w:t>
      </w:r>
    </w:p>
    <w:p w:rsidR="001B7DC2" w:rsidRPr="001B7DC2" w:rsidRDefault="001B7DC2" w:rsidP="001B7DC2">
      <w:pPr>
        <w:pStyle w:val="ListParagraph"/>
        <w:spacing w:after="0"/>
        <w:ind w:left="360"/>
        <w:rPr>
          <w:rFonts w:eastAsiaTheme="minorHAnsi" w:cs="Arial"/>
          <w:b/>
          <w:bCs/>
          <w:iCs/>
          <w:color w:val="auto"/>
        </w:rPr>
      </w:pPr>
    </w:p>
    <w:p w:rsidR="003619B9" w:rsidRPr="001B7DC2" w:rsidRDefault="000F680D" w:rsidP="001B7DC2">
      <w:pPr>
        <w:ind w:left="720" w:hanging="720"/>
        <w:rPr>
          <w:rFonts w:eastAsiaTheme="minorHAnsi" w:cs="Arial"/>
          <w:bCs/>
          <w:iCs/>
          <w:color w:val="auto"/>
        </w:rPr>
      </w:pPr>
      <w:r w:rsidRPr="001B7DC2">
        <w:rPr>
          <w:rFonts w:eastAsiaTheme="minorHAnsi" w:cs="Arial"/>
          <w:bCs/>
          <w:iCs/>
          <w:color w:val="auto"/>
        </w:rPr>
        <w:t>4.1</w:t>
      </w:r>
      <w:r w:rsidRPr="001B7DC2">
        <w:rPr>
          <w:rFonts w:eastAsiaTheme="minorHAnsi" w:cs="Arial"/>
          <w:bCs/>
          <w:iCs/>
          <w:color w:val="auto"/>
        </w:rPr>
        <w:tab/>
      </w:r>
      <w:r w:rsidR="003619B9" w:rsidRPr="001B7DC2">
        <w:rPr>
          <w:rFonts w:eastAsiaTheme="minorHAnsi" w:cs="Arial"/>
          <w:bCs/>
          <w:iCs/>
          <w:color w:val="auto"/>
        </w:rPr>
        <w:t>The proposed investment strategy sees between 20% and 30% of the property investment allocation being invested in specialist or opportunity funds or other similar vehicles seeking a higher return overall than core property in the range 8% to 12%</w:t>
      </w:r>
      <w:r w:rsidR="00263B59" w:rsidRPr="001B7DC2">
        <w:rPr>
          <w:rFonts w:eastAsiaTheme="minorHAnsi" w:cs="Arial"/>
          <w:bCs/>
          <w:iCs/>
          <w:color w:val="auto"/>
        </w:rPr>
        <w:t xml:space="preserve"> per annum</w:t>
      </w:r>
      <w:r w:rsidR="003619B9" w:rsidRPr="001B7DC2">
        <w:rPr>
          <w:rFonts w:eastAsiaTheme="minorHAnsi" w:cs="Arial"/>
          <w:bCs/>
          <w:iCs/>
          <w:color w:val="auto"/>
        </w:rPr>
        <w:t>.  Taking the mid-range and current Fund value this represents an amount of around £18</w:t>
      </w:r>
      <w:r w:rsidR="004A7751" w:rsidRPr="001B7DC2">
        <w:rPr>
          <w:rFonts w:eastAsiaTheme="minorHAnsi" w:cs="Arial"/>
          <w:bCs/>
          <w:iCs/>
          <w:color w:val="auto"/>
        </w:rPr>
        <w:t>7</w:t>
      </w:r>
      <w:r w:rsidR="003619B9" w:rsidRPr="001B7DC2">
        <w:rPr>
          <w:rFonts w:eastAsiaTheme="minorHAnsi" w:cs="Arial"/>
          <w:bCs/>
          <w:iCs/>
          <w:color w:val="auto"/>
        </w:rPr>
        <w:t>m.</w:t>
      </w:r>
    </w:p>
    <w:p w:rsidR="00E25F7F" w:rsidRPr="001B7DC2" w:rsidRDefault="000F680D" w:rsidP="001B7DC2">
      <w:pPr>
        <w:ind w:left="720" w:hanging="720"/>
        <w:jc w:val="both"/>
        <w:rPr>
          <w:rFonts w:cs="Arial"/>
        </w:rPr>
      </w:pPr>
      <w:r w:rsidRPr="001B7DC2">
        <w:rPr>
          <w:rFonts w:eastAsiaTheme="minorHAnsi" w:cs="Arial"/>
          <w:bCs/>
          <w:iCs/>
          <w:color w:val="auto"/>
        </w:rPr>
        <w:t>4.2</w:t>
      </w:r>
      <w:r w:rsidRPr="001B7DC2">
        <w:rPr>
          <w:rFonts w:eastAsiaTheme="minorHAnsi" w:cs="Arial"/>
          <w:bCs/>
          <w:iCs/>
          <w:color w:val="auto"/>
        </w:rPr>
        <w:tab/>
      </w:r>
      <w:r w:rsidR="00C23200" w:rsidRPr="001B7DC2">
        <w:rPr>
          <w:rFonts w:eastAsiaTheme="minorHAnsi" w:cs="Arial"/>
          <w:bCs/>
          <w:iCs/>
          <w:color w:val="auto"/>
        </w:rPr>
        <w:t>The higher returns flow from investments in properties perceived as riskier or from asset management and development initiatives.</w:t>
      </w:r>
      <w:r w:rsidR="00E25F7F" w:rsidRPr="001B7DC2">
        <w:rPr>
          <w:rFonts w:eastAsiaTheme="minorHAnsi" w:cs="Arial"/>
          <w:bCs/>
          <w:iCs/>
          <w:color w:val="auto"/>
        </w:rPr>
        <w:t xml:space="preserve">  A number of investment groups have achieved these higher returns consistently over many years.  </w:t>
      </w:r>
      <w:r w:rsidR="00E25F7F" w:rsidRPr="001B7DC2">
        <w:rPr>
          <w:rFonts w:cs="Arial"/>
        </w:rPr>
        <w:t>For example, the Blackstone Group has run opportunistic property funds since 1991.  Eight funds over 20 years, typically over $1bn invested in each have returned a net IRR to investors of 16%</w:t>
      </w:r>
      <w:r w:rsidR="00263B59" w:rsidRPr="001B7DC2">
        <w:rPr>
          <w:rFonts w:cs="Arial"/>
        </w:rPr>
        <w:t xml:space="preserve"> per annum</w:t>
      </w:r>
      <w:r w:rsidR="00E25F7F" w:rsidRPr="001B7DC2">
        <w:rPr>
          <w:rFonts w:cs="Arial"/>
        </w:rPr>
        <w:t>.  Returns for different vintages range from 9% to 40%.</w:t>
      </w:r>
    </w:p>
    <w:p w:rsidR="00C23200" w:rsidRPr="001B7DC2" w:rsidRDefault="000F680D" w:rsidP="001B7DC2">
      <w:pPr>
        <w:ind w:left="720" w:hanging="720"/>
        <w:rPr>
          <w:rFonts w:cs="Arial"/>
        </w:rPr>
      </w:pPr>
      <w:r w:rsidRPr="001B7DC2">
        <w:rPr>
          <w:rFonts w:eastAsiaTheme="minorHAnsi" w:cs="Arial"/>
          <w:bCs/>
          <w:iCs/>
          <w:color w:val="auto"/>
        </w:rPr>
        <w:t>4.3</w:t>
      </w:r>
      <w:r w:rsidRPr="001B7DC2">
        <w:rPr>
          <w:rFonts w:eastAsiaTheme="minorHAnsi" w:cs="Arial"/>
          <w:bCs/>
          <w:iCs/>
          <w:color w:val="auto"/>
        </w:rPr>
        <w:tab/>
      </w:r>
      <w:r w:rsidR="00DA77B4" w:rsidRPr="001B7DC2">
        <w:rPr>
          <w:rFonts w:eastAsiaTheme="minorHAnsi" w:cs="Arial"/>
          <w:bCs/>
          <w:iCs/>
          <w:color w:val="auto"/>
        </w:rPr>
        <w:t xml:space="preserve">Blackstone and similar specialist managers </w:t>
      </w:r>
      <w:r w:rsidR="00C23200" w:rsidRPr="001B7DC2">
        <w:rPr>
          <w:rFonts w:cs="Arial"/>
        </w:rPr>
        <w:t xml:space="preserve">may invest in value </w:t>
      </w:r>
      <w:proofErr w:type="gramStart"/>
      <w:r w:rsidR="00C23200" w:rsidRPr="001B7DC2">
        <w:rPr>
          <w:rFonts w:cs="Arial"/>
        </w:rPr>
        <w:t>add,</w:t>
      </w:r>
      <w:proofErr w:type="gramEnd"/>
      <w:r w:rsidR="00C23200" w:rsidRPr="001B7DC2">
        <w:rPr>
          <w:rFonts w:cs="Arial"/>
        </w:rPr>
        <w:t xml:space="preserve"> opportunity or distressed property.</w:t>
      </w:r>
      <w:r w:rsidR="00E25F7F" w:rsidRPr="001B7DC2">
        <w:rPr>
          <w:rFonts w:cs="Arial"/>
        </w:rPr>
        <w:t xml:space="preserve">  For example, a run-down office block may be bought, refurbished, remarketed and re-let with better quality tenants on longer leases, thereby achieving </w:t>
      </w:r>
      <w:proofErr w:type="gramStart"/>
      <w:r w:rsidR="00E25F7F" w:rsidRPr="001B7DC2">
        <w:rPr>
          <w:rFonts w:cs="Arial"/>
        </w:rPr>
        <w:t>a significant</w:t>
      </w:r>
      <w:proofErr w:type="gramEnd"/>
      <w:r w:rsidR="00E25F7F" w:rsidRPr="001B7DC2">
        <w:rPr>
          <w:rFonts w:cs="Arial"/>
        </w:rPr>
        <w:t xml:space="preserve"> valuation uplift.  This type of investment opportunity needs specialist knowledge and experience and is best accessed through private equity-style funds or listed property development companies</w:t>
      </w:r>
    </w:p>
    <w:p w:rsidR="00E25F7F" w:rsidRPr="001B7DC2" w:rsidRDefault="000F680D" w:rsidP="001B7DC2">
      <w:pPr>
        <w:ind w:left="720" w:hanging="720"/>
        <w:jc w:val="both"/>
        <w:rPr>
          <w:rFonts w:cs="Arial"/>
        </w:rPr>
      </w:pPr>
      <w:r w:rsidRPr="001B7DC2">
        <w:rPr>
          <w:rFonts w:cs="Arial"/>
        </w:rPr>
        <w:t>4.4</w:t>
      </w:r>
      <w:r w:rsidRPr="001B7DC2">
        <w:rPr>
          <w:rFonts w:cs="Arial"/>
        </w:rPr>
        <w:tab/>
      </w:r>
      <w:r w:rsidR="00E25F7F" w:rsidRPr="001B7DC2">
        <w:rPr>
          <w:rFonts w:cs="Arial"/>
        </w:rPr>
        <w:t>Investors may also look at very specialist sector investments, for example, hotels, student accommodation, health-care facilities, and care-home facilities.  These types of investments typically generate higher income distributions but perhaps at the cost of a depreciating specialist infra-structure.  The specialist knowledge and management required means that these types of investments are again best accessed through indirect routes.</w:t>
      </w:r>
    </w:p>
    <w:p w:rsidR="00DA77B4" w:rsidRPr="001B7DC2" w:rsidRDefault="000F680D" w:rsidP="001B7DC2">
      <w:pPr>
        <w:ind w:left="720" w:hanging="720"/>
        <w:jc w:val="both"/>
        <w:rPr>
          <w:rFonts w:cs="Arial"/>
        </w:rPr>
      </w:pPr>
      <w:r w:rsidRPr="001B7DC2">
        <w:rPr>
          <w:rFonts w:cs="Arial"/>
        </w:rPr>
        <w:t>4.5</w:t>
      </w:r>
      <w:r w:rsidRPr="001B7DC2">
        <w:rPr>
          <w:rFonts w:cs="Arial"/>
        </w:rPr>
        <w:tab/>
      </w:r>
      <w:r w:rsidR="00DA77B4" w:rsidRPr="001B7DC2">
        <w:rPr>
          <w:rFonts w:cs="Arial"/>
        </w:rPr>
        <w:t xml:space="preserve">Specialist hotel funds, for example, search out key quality hotels in the best locations.  The lease terms are typically geared to the hotel's performance and include covenants regarding levels of refurbishment expressed as a percentage of turnover.  For example, Invesco has two funds with nearly €800m invested.  It concentrates on hotels in key locations, such as airports, which are focused on the business traveller.  Revenues from such locations are likely to be reliable.  In 2011, Invesco's hotel fund returned a net 11.3% (income 7% and capital growth 4.3%) while the core portfolio returned 9.3% in the same period. </w:t>
      </w:r>
    </w:p>
    <w:p w:rsidR="00E25F7F" w:rsidRPr="001B7DC2" w:rsidRDefault="000F680D" w:rsidP="001B7DC2">
      <w:pPr>
        <w:ind w:left="720" w:hanging="720"/>
        <w:jc w:val="both"/>
        <w:rPr>
          <w:rFonts w:cs="Arial"/>
        </w:rPr>
      </w:pPr>
      <w:r w:rsidRPr="001B7DC2">
        <w:rPr>
          <w:rFonts w:cs="Arial"/>
        </w:rPr>
        <w:t>4.6</w:t>
      </w:r>
      <w:r w:rsidRPr="001B7DC2">
        <w:rPr>
          <w:rFonts w:cs="Arial"/>
        </w:rPr>
        <w:tab/>
      </w:r>
      <w:r w:rsidR="00E25F7F" w:rsidRPr="001B7DC2">
        <w:rPr>
          <w:rFonts w:cs="Arial"/>
        </w:rPr>
        <w:t xml:space="preserve">The illiquid nature of indirect property investment funds does mean that there can be distressed fund opportunities.  Where an investor wishes to redeem its holding, but is either in a closed end fund of a fixed life or in an open end fund which has a significant redemption queue, then opportunities do arise to </w:t>
      </w:r>
      <w:r w:rsidR="00E25F7F" w:rsidRPr="001B7DC2">
        <w:rPr>
          <w:rFonts w:cs="Arial"/>
        </w:rPr>
        <w:lastRenderedPageBreak/>
        <w:t xml:space="preserve">acquire units at a significant discount to net asset value.  Provided that the Pension Fund is confident in the underlying property holdings of the distressed fund, the discount to net assets on acquisition can provide a significant boost to performance and more than offset the intrinsic cost disadvantage of funds generally.  Investment groups such as Partners have used this strategy very successfully to produce some impressive results. </w:t>
      </w:r>
    </w:p>
    <w:p w:rsidR="00DA77B4" w:rsidRPr="001B7DC2" w:rsidRDefault="000F680D" w:rsidP="001B7DC2">
      <w:pPr>
        <w:ind w:left="720" w:hanging="720"/>
        <w:jc w:val="both"/>
        <w:rPr>
          <w:rFonts w:cs="Arial"/>
        </w:rPr>
      </w:pPr>
      <w:r w:rsidRPr="001B7DC2">
        <w:rPr>
          <w:rFonts w:cs="Arial"/>
        </w:rPr>
        <w:t>4.7</w:t>
      </w:r>
      <w:r w:rsidRPr="001B7DC2">
        <w:rPr>
          <w:rFonts w:cs="Arial"/>
        </w:rPr>
        <w:tab/>
      </w:r>
      <w:r w:rsidR="00DA77B4" w:rsidRPr="001B7DC2">
        <w:rPr>
          <w:rFonts w:cs="Arial"/>
        </w:rPr>
        <w:t xml:space="preserve">Many investment managers are currently marketing property debt funds to replace the loans previously sourced with banks.  These funds have not been considered here as they have been covered in the Fund’s credit investment allocation. </w:t>
      </w:r>
    </w:p>
    <w:p w:rsidR="00BA70E2" w:rsidRPr="001B7DC2" w:rsidRDefault="000F680D" w:rsidP="001B7DC2">
      <w:pPr>
        <w:ind w:left="720" w:hanging="720"/>
        <w:rPr>
          <w:rFonts w:eastAsiaTheme="minorHAnsi" w:cs="Arial"/>
          <w:bCs/>
          <w:iCs/>
          <w:color w:val="auto"/>
        </w:rPr>
      </w:pPr>
      <w:r w:rsidRPr="001B7DC2">
        <w:rPr>
          <w:rFonts w:eastAsiaTheme="minorHAnsi" w:cs="Arial"/>
          <w:bCs/>
          <w:iCs/>
          <w:color w:val="auto"/>
        </w:rPr>
        <w:t>4.8</w:t>
      </w:r>
      <w:r w:rsidRPr="001B7DC2">
        <w:rPr>
          <w:rFonts w:eastAsiaTheme="minorHAnsi" w:cs="Arial"/>
          <w:bCs/>
          <w:iCs/>
          <w:color w:val="auto"/>
        </w:rPr>
        <w:tab/>
      </w:r>
      <w:r w:rsidR="00DA77B4" w:rsidRPr="001B7DC2">
        <w:rPr>
          <w:rFonts w:eastAsiaTheme="minorHAnsi" w:cs="Arial"/>
          <w:bCs/>
          <w:iCs/>
          <w:color w:val="auto"/>
        </w:rPr>
        <w:t xml:space="preserve">It is proposed that investment due diligence be commissioned to assist the Fund in building </w:t>
      </w:r>
      <w:r w:rsidR="000C2636" w:rsidRPr="001B7DC2">
        <w:rPr>
          <w:rFonts w:eastAsiaTheme="minorHAnsi" w:cs="Arial"/>
          <w:bCs/>
          <w:iCs/>
          <w:color w:val="auto"/>
        </w:rPr>
        <w:t xml:space="preserve">out </w:t>
      </w:r>
      <w:r w:rsidR="00DA77B4" w:rsidRPr="001B7DC2">
        <w:rPr>
          <w:rFonts w:eastAsiaTheme="minorHAnsi" w:cs="Arial"/>
          <w:bCs/>
          <w:iCs/>
          <w:color w:val="auto"/>
        </w:rPr>
        <w:t>a portfolio of specialist/opportunity property investments with a view to achieving an absolute return in the range 8% to 12%</w:t>
      </w:r>
      <w:r w:rsidR="00263B59" w:rsidRPr="001B7DC2">
        <w:rPr>
          <w:rFonts w:eastAsiaTheme="minorHAnsi" w:cs="Arial"/>
          <w:bCs/>
          <w:iCs/>
          <w:color w:val="auto"/>
        </w:rPr>
        <w:t xml:space="preserve"> per annum</w:t>
      </w:r>
      <w:r w:rsidR="008018D5" w:rsidRPr="001B7DC2">
        <w:rPr>
          <w:rFonts w:eastAsiaTheme="minorHAnsi" w:cs="Arial"/>
          <w:bCs/>
          <w:iCs/>
          <w:color w:val="auto"/>
        </w:rPr>
        <w:t>, with some funds expected to exceed the 12% return.</w:t>
      </w:r>
      <w:r w:rsidR="000A2955" w:rsidRPr="001B7DC2">
        <w:rPr>
          <w:rFonts w:eastAsiaTheme="minorHAnsi" w:cs="Arial"/>
          <w:bCs/>
          <w:iCs/>
          <w:color w:val="auto"/>
        </w:rPr>
        <w:t xml:space="preserve">  The type of structure envisaged would be:</w:t>
      </w:r>
    </w:p>
    <w:p w:rsidR="000A2955" w:rsidRPr="001B7DC2" w:rsidRDefault="000A2955" w:rsidP="001B7DC2">
      <w:pPr>
        <w:ind w:left="1440" w:hanging="720"/>
        <w:rPr>
          <w:rFonts w:eastAsiaTheme="minorHAnsi" w:cs="Arial"/>
          <w:bCs/>
          <w:iCs/>
          <w:color w:val="auto"/>
        </w:rPr>
      </w:pPr>
      <w:r w:rsidRPr="001B7DC2">
        <w:rPr>
          <w:rFonts w:eastAsiaTheme="minorHAnsi" w:cs="Arial"/>
          <w:bCs/>
          <w:iCs/>
          <w:color w:val="auto"/>
        </w:rPr>
        <w:t>25%</w:t>
      </w:r>
      <w:r w:rsidRPr="001B7DC2">
        <w:rPr>
          <w:rFonts w:eastAsiaTheme="minorHAnsi" w:cs="Arial"/>
          <w:bCs/>
          <w:iCs/>
          <w:color w:val="auto"/>
        </w:rPr>
        <w:tab/>
        <w:t xml:space="preserve">Global value-add </w:t>
      </w:r>
      <w:r w:rsidR="008018D5" w:rsidRPr="001B7DC2">
        <w:rPr>
          <w:rFonts w:eastAsiaTheme="minorHAnsi" w:cs="Arial"/>
          <w:bCs/>
          <w:iCs/>
          <w:color w:val="auto"/>
        </w:rPr>
        <w:t>property</w:t>
      </w:r>
      <w:r w:rsidR="008018D5" w:rsidRPr="001B7DC2">
        <w:rPr>
          <w:rFonts w:eastAsiaTheme="minorHAnsi" w:cs="Arial"/>
          <w:bCs/>
          <w:iCs/>
          <w:color w:val="auto"/>
        </w:rPr>
        <w:tab/>
      </w:r>
      <w:r w:rsidRPr="001B7DC2">
        <w:rPr>
          <w:rFonts w:eastAsiaTheme="minorHAnsi" w:cs="Arial"/>
          <w:bCs/>
          <w:iCs/>
          <w:color w:val="auto"/>
        </w:rPr>
        <w:t xml:space="preserve"> </w:t>
      </w:r>
      <w:r w:rsidRPr="001B7DC2">
        <w:rPr>
          <w:rFonts w:eastAsiaTheme="minorHAnsi" w:cs="Arial"/>
          <w:bCs/>
          <w:iCs/>
          <w:color w:val="auto"/>
        </w:rPr>
        <w:tab/>
        <w:t>e.g. Blackstone</w:t>
      </w:r>
    </w:p>
    <w:p w:rsidR="000A2955" w:rsidRPr="001B7DC2" w:rsidRDefault="000A2955" w:rsidP="001B7DC2">
      <w:pPr>
        <w:ind w:left="1440" w:hanging="720"/>
        <w:rPr>
          <w:rFonts w:eastAsiaTheme="minorHAnsi" w:cs="Arial"/>
          <w:bCs/>
          <w:iCs/>
          <w:color w:val="auto"/>
        </w:rPr>
      </w:pPr>
      <w:r w:rsidRPr="001B7DC2">
        <w:rPr>
          <w:rFonts w:eastAsiaTheme="minorHAnsi" w:cs="Arial"/>
          <w:bCs/>
          <w:iCs/>
          <w:color w:val="auto"/>
        </w:rPr>
        <w:t>25%</w:t>
      </w:r>
      <w:r w:rsidRPr="001B7DC2">
        <w:rPr>
          <w:rFonts w:eastAsiaTheme="minorHAnsi" w:cs="Arial"/>
          <w:bCs/>
          <w:iCs/>
          <w:color w:val="auto"/>
        </w:rPr>
        <w:tab/>
        <w:t xml:space="preserve">UK value-add </w:t>
      </w:r>
      <w:r w:rsidR="008018D5" w:rsidRPr="001B7DC2">
        <w:rPr>
          <w:rFonts w:eastAsiaTheme="minorHAnsi" w:cs="Arial"/>
          <w:bCs/>
          <w:iCs/>
          <w:color w:val="auto"/>
        </w:rPr>
        <w:tab/>
      </w:r>
      <w:r w:rsidR="008018D5" w:rsidRPr="001B7DC2">
        <w:rPr>
          <w:rFonts w:eastAsiaTheme="minorHAnsi" w:cs="Arial"/>
          <w:bCs/>
          <w:iCs/>
          <w:color w:val="auto"/>
        </w:rPr>
        <w:tab/>
      </w:r>
      <w:r w:rsidRPr="001B7DC2">
        <w:rPr>
          <w:rFonts w:eastAsiaTheme="minorHAnsi" w:cs="Arial"/>
          <w:bCs/>
          <w:iCs/>
          <w:color w:val="auto"/>
        </w:rPr>
        <w:t xml:space="preserve"> </w:t>
      </w:r>
      <w:r w:rsidRPr="001B7DC2">
        <w:rPr>
          <w:rFonts w:eastAsiaTheme="minorHAnsi" w:cs="Arial"/>
          <w:bCs/>
          <w:iCs/>
          <w:color w:val="auto"/>
        </w:rPr>
        <w:tab/>
        <w:t xml:space="preserve">e.g. </w:t>
      </w:r>
      <w:proofErr w:type="spellStart"/>
      <w:r w:rsidRPr="001B7DC2">
        <w:rPr>
          <w:rFonts w:eastAsiaTheme="minorHAnsi" w:cs="Arial"/>
          <w:bCs/>
          <w:iCs/>
          <w:color w:val="auto"/>
        </w:rPr>
        <w:t>Moorfield</w:t>
      </w:r>
      <w:proofErr w:type="spellEnd"/>
    </w:p>
    <w:p w:rsidR="000A2955" w:rsidRPr="001B7DC2" w:rsidRDefault="000A2955" w:rsidP="001B7DC2">
      <w:pPr>
        <w:ind w:left="1440" w:hanging="720"/>
        <w:rPr>
          <w:rFonts w:eastAsiaTheme="minorHAnsi" w:cs="Arial"/>
          <w:bCs/>
          <w:iCs/>
          <w:color w:val="auto"/>
        </w:rPr>
      </w:pPr>
      <w:r w:rsidRPr="001B7DC2">
        <w:rPr>
          <w:rFonts w:eastAsiaTheme="minorHAnsi" w:cs="Arial"/>
          <w:bCs/>
          <w:iCs/>
          <w:color w:val="auto"/>
        </w:rPr>
        <w:t>25%</w:t>
      </w:r>
      <w:r w:rsidRPr="001B7DC2">
        <w:rPr>
          <w:rFonts w:eastAsiaTheme="minorHAnsi" w:cs="Arial"/>
          <w:bCs/>
          <w:iCs/>
          <w:color w:val="auto"/>
        </w:rPr>
        <w:tab/>
        <w:t xml:space="preserve">Global opportunity property </w:t>
      </w:r>
      <w:r w:rsidRPr="001B7DC2">
        <w:rPr>
          <w:rFonts w:eastAsiaTheme="minorHAnsi" w:cs="Arial"/>
          <w:bCs/>
          <w:iCs/>
          <w:color w:val="auto"/>
        </w:rPr>
        <w:tab/>
        <w:t>e.g. Partners Group</w:t>
      </w:r>
    </w:p>
    <w:p w:rsidR="000A2955" w:rsidRPr="001B7DC2" w:rsidRDefault="000A2955" w:rsidP="001B7DC2">
      <w:pPr>
        <w:ind w:left="1440" w:hanging="720"/>
        <w:rPr>
          <w:rFonts w:eastAsiaTheme="minorHAnsi" w:cs="Arial"/>
          <w:bCs/>
          <w:iCs/>
          <w:color w:val="auto"/>
        </w:rPr>
      </w:pPr>
      <w:proofErr w:type="gramStart"/>
      <w:r w:rsidRPr="001B7DC2">
        <w:rPr>
          <w:rFonts w:eastAsiaTheme="minorHAnsi" w:cs="Arial"/>
          <w:bCs/>
          <w:iCs/>
          <w:color w:val="auto"/>
        </w:rPr>
        <w:t>25%</w:t>
      </w:r>
      <w:r w:rsidRPr="001B7DC2">
        <w:rPr>
          <w:rFonts w:eastAsiaTheme="minorHAnsi" w:cs="Arial"/>
          <w:bCs/>
          <w:iCs/>
          <w:color w:val="auto"/>
        </w:rPr>
        <w:tab/>
        <w:t>Specialist income</w:t>
      </w:r>
      <w:r w:rsidRPr="001B7DC2">
        <w:rPr>
          <w:rFonts w:eastAsiaTheme="minorHAnsi" w:cs="Arial"/>
          <w:bCs/>
          <w:iCs/>
          <w:color w:val="auto"/>
        </w:rPr>
        <w:tab/>
      </w:r>
      <w:r w:rsidRPr="001B7DC2">
        <w:rPr>
          <w:rFonts w:eastAsiaTheme="minorHAnsi" w:cs="Arial"/>
          <w:bCs/>
          <w:iCs/>
          <w:color w:val="auto"/>
        </w:rPr>
        <w:tab/>
      </w:r>
      <w:r w:rsidRPr="001B7DC2">
        <w:rPr>
          <w:rFonts w:eastAsiaTheme="minorHAnsi" w:cs="Arial"/>
          <w:bCs/>
          <w:iCs/>
          <w:color w:val="auto"/>
        </w:rPr>
        <w:tab/>
        <w:t>e.g</w:t>
      </w:r>
      <w:r w:rsidR="008018D5" w:rsidRPr="001B7DC2">
        <w:rPr>
          <w:rFonts w:eastAsiaTheme="minorHAnsi" w:cs="Arial"/>
          <w:bCs/>
          <w:iCs/>
          <w:color w:val="auto"/>
        </w:rPr>
        <w:t>.</w:t>
      </w:r>
      <w:proofErr w:type="gramEnd"/>
      <w:r w:rsidRPr="001B7DC2">
        <w:rPr>
          <w:rFonts w:eastAsiaTheme="minorHAnsi" w:cs="Arial"/>
          <w:bCs/>
          <w:iCs/>
          <w:color w:val="auto"/>
        </w:rPr>
        <w:t xml:space="preserve">  Invesco Hotel fund</w:t>
      </w:r>
    </w:p>
    <w:p w:rsidR="000A2955" w:rsidRPr="001B7DC2" w:rsidRDefault="008018D5" w:rsidP="001B7DC2">
      <w:pPr>
        <w:ind w:left="720"/>
        <w:rPr>
          <w:rFonts w:eastAsiaTheme="minorHAnsi" w:cs="Arial"/>
          <w:bCs/>
          <w:iCs/>
          <w:color w:val="auto"/>
        </w:rPr>
      </w:pPr>
      <w:r w:rsidRPr="001B7DC2">
        <w:rPr>
          <w:rFonts w:eastAsiaTheme="minorHAnsi" w:cs="Arial"/>
          <w:bCs/>
          <w:iCs/>
          <w:color w:val="auto"/>
        </w:rPr>
        <w:t xml:space="preserve">As many of the funds available are closed end private-equity style funds, consideration will also need to be given to spreading investment across fund vintages.  The investment due diligence is expected to define the composition of the specialist/opportunity allocation and propose a short-list of possible funds for approval by the Investment Panel, on which fund-specific due diligence would then be commissioned.  </w:t>
      </w:r>
    </w:p>
    <w:p w:rsidR="000A2955" w:rsidRPr="001B7DC2" w:rsidRDefault="000A2955" w:rsidP="001B7DC2">
      <w:pPr>
        <w:rPr>
          <w:rFonts w:eastAsiaTheme="minorHAnsi" w:cs="Arial"/>
          <w:bCs/>
          <w:iCs/>
          <w:color w:val="auto"/>
        </w:rPr>
      </w:pPr>
    </w:p>
    <w:p w:rsidR="00AC48CC" w:rsidRPr="001B7DC2" w:rsidRDefault="0030037C" w:rsidP="001B7DC2">
      <w:pPr>
        <w:rPr>
          <w:rFonts w:cs="Arial"/>
        </w:rPr>
      </w:pPr>
      <w:r w:rsidRPr="001B7DC2">
        <w:rPr>
          <w:rFonts w:cs="Arial"/>
        </w:rPr>
        <w:tab/>
      </w:r>
      <w:r w:rsidR="00AC48CC" w:rsidRPr="001B7DC2">
        <w:rPr>
          <w:rFonts w:cs="Arial"/>
        </w:rPr>
        <w:br w:type="page"/>
      </w:r>
    </w:p>
    <w:p w:rsidR="0030037C" w:rsidRPr="001B7DC2" w:rsidRDefault="0030037C" w:rsidP="001B7DC2">
      <w:pPr>
        <w:jc w:val="right"/>
        <w:rPr>
          <w:rFonts w:cs="Arial"/>
          <w:b/>
        </w:rPr>
      </w:pPr>
      <w:r w:rsidRPr="001B7DC2">
        <w:rPr>
          <w:rFonts w:cs="Arial"/>
          <w:b/>
        </w:rPr>
        <w:lastRenderedPageBreak/>
        <w:t>Annex 1</w:t>
      </w:r>
    </w:p>
    <w:p w:rsidR="007C261F" w:rsidRPr="001B7DC2" w:rsidRDefault="007C261F" w:rsidP="001B7DC2">
      <w:pPr>
        <w:rPr>
          <w:rFonts w:cs="Arial"/>
        </w:rPr>
      </w:pPr>
      <w:proofErr w:type="spellStart"/>
      <w:r w:rsidRPr="001B7DC2">
        <w:rPr>
          <w:rFonts w:cs="Arial"/>
          <w:b/>
        </w:rPr>
        <w:t>LCPF</w:t>
      </w:r>
      <w:proofErr w:type="spellEnd"/>
      <w:r w:rsidRPr="001B7DC2">
        <w:rPr>
          <w:rFonts w:cs="Arial"/>
          <w:b/>
        </w:rPr>
        <w:t xml:space="preserve"> Property Strategy</w:t>
      </w:r>
      <w:r w:rsidRPr="001B7DC2">
        <w:rPr>
          <w:rFonts w:cs="Arial"/>
        </w:rPr>
        <w:tab/>
      </w:r>
      <w:r w:rsidRPr="001B7DC2">
        <w:rPr>
          <w:rFonts w:cs="Arial"/>
        </w:rPr>
        <w:tab/>
      </w:r>
      <w:r w:rsidRPr="001B7DC2">
        <w:rPr>
          <w:rFonts w:cs="Arial"/>
        </w:rPr>
        <w:tab/>
      </w:r>
      <w:r w:rsidRPr="001B7DC2">
        <w:rPr>
          <w:rFonts w:cs="Arial"/>
        </w:rPr>
        <w:tab/>
      </w:r>
      <w:r w:rsidRPr="001B7DC2">
        <w:rPr>
          <w:rFonts w:cs="Arial"/>
        </w:rPr>
        <w:tab/>
      </w:r>
      <w:r w:rsidRPr="001B7DC2">
        <w:rPr>
          <w:rFonts w:cs="Arial"/>
        </w:rPr>
        <w:tab/>
      </w:r>
    </w:p>
    <w:p w:rsidR="007C261F" w:rsidRPr="001B7DC2" w:rsidRDefault="007C261F" w:rsidP="001B7DC2">
      <w:pPr>
        <w:tabs>
          <w:tab w:val="left" w:pos="3345"/>
        </w:tabs>
        <w:rPr>
          <w:rFonts w:cs="Arial"/>
          <w:u w:val="single"/>
        </w:rPr>
      </w:pPr>
      <w:r w:rsidRPr="001B7DC2">
        <w:rPr>
          <w:rFonts w:cs="Arial"/>
          <w:u w:val="single"/>
        </w:rPr>
        <w:t>Property Market Transparency Index</w:t>
      </w:r>
    </w:p>
    <w:tbl>
      <w:tblPr>
        <w:tblpPr w:leftFromText="180" w:rightFromText="180" w:vertAnchor="text" w:horzAnchor="margin" w:tblpXSpec="center" w:tblpY="287"/>
        <w:tblW w:w="10598" w:type="dxa"/>
        <w:tblLook w:val="04A0"/>
      </w:tblPr>
      <w:tblGrid>
        <w:gridCol w:w="1097"/>
        <w:gridCol w:w="2352"/>
        <w:gridCol w:w="1775"/>
        <w:gridCol w:w="426"/>
        <w:gridCol w:w="1097"/>
        <w:gridCol w:w="2078"/>
        <w:gridCol w:w="1985"/>
      </w:tblGrid>
      <w:tr w:rsidR="007C261F" w:rsidRPr="001B7DC2" w:rsidTr="0030037C">
        <w:trPr>
          <w:trHeight w:val="315"/>
        </w:trPr>
        <w:tc>
          <w:tcPr>
            <w:tcW w:w="10598" w:type="dxa"/>
            <w:gridSpan w:val="7"/>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b/>
                <w:bCs/>
                <w:u w:val="single"/>
                <w:lang w:eastAsia="en-GB"/>
              </w:rPr>
              <w:t xml:space="preserve">Country Property Market  Transparency Ratings 2012 (Jones Lang </w:t>
            </w:r>
            <w:proofErr w:type="spellStart"/>
            <w:r w:rsidRPr="001B7DC2">
              <w:rPr>
                <w:rFonts w:eastAsia="Times New Roman" w:cs="Arial"/>
                <w:b/>
                <w:bCs/>
                <w:u w:val="single"/>
                <w:lang w:eastAsia="en-GB"/>
              </w:rPr>
              <w:t>Lasalle</w:t>
            </w:r>
            <w:proofErr w:type="spellEnd"/>
            <w:r w:rsidRPr="001B7DC2">
              <w:rPr>
                <w:rFonts w:eastAsia="Times New Roman" w:cs="Arial"/>
                <w:b/>
                <w:bCs/>
                <w:u w:val="single"/>
                <w:lang w:eastAsia="en-GB"/>
              </w:rPr>
              <w:t>)</w:t>
            </w:r>
          </w:p>
        </w:tc>
      </w:tr>
      <w:tr w:rsidR="007C261F" w:rsidRPr="001B7DC2" w:rsidTr="0030037C">
        <w:trPr>
          <w:trHeight w:val="247"/>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r>
      <w:tr w:rsidR="007C261F" w:rsidRPr="001B7DC2" w:rsidTr="0030037C">
        <w:trPr>
          <w:trHeight w:val="57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Ranking</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1775" w:type="dxa"/>
            <w:tcBorders>
              <w:top w:val="nil"/>
              <w:left w:val="nil"/>
              <w:bottom w:val="nil"/>
              <w:right w:val="nil"/>
            </w:tcBorders>
            <w:shd w:val="clear" w:color="auto" w:fill="auto"/>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 xml:space="preserve"> Transparency Score</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Ranking</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1985" w:type="dxa"/>
            <w:tcBorders>
              <w:top w:val="nil"/>
              <w:left w:val="nil"/>
              <w:bottom w:val="nil"/>
              <w:right w:val="nil"/>
            </w:tcBorders>
            <w:shd w:val="clear" w:color="auto" w:fill="auto"/>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Transparency Score</w:t>
            </w:r>
          </w:p>
        </w:tc>
      </w:tr>
      <w:tr w:rsidR="007C261F" w:rsidRPr="001B7DC2" w:rsidTr="0030037C">
        <w:trPr>
          <w:trHeight w:val="239"/>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1775" w:type="dxa"/>
            <w:tcBorders>
              <w:top w:val="nil"/>
              <w:left w:val="nil"/>
              <w:bottom w:val="nil"/>
              <w:right w:val="nil"/>
            </w:tcBorders>
            <w:shd w:val="clear" w:color="auto" w:fill="auto"/>
            <w:vAlign w:val="bottom"/>
            <w:hideMark/>
          </w:tcPr>
          <w:p w:rsidR="007C261F" w:rsidRPr="001B7DC2" w:rsidRDefault="007C261F" w:rsidP="001B7DC2">
            <w:pPr>
              <w:spacing w:after="0"/>
              <w:jc w:val="right"/>
              <w:rPr>
                <w:rFonts w:eastAsia="Times New Roman" w:cs="Arial"/>
                <w:lang w:eastAsia="en-GB"/>
              </w:rPr>
            </w:pP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1985" w:type="dxa"/>
            <w:tcBorders>
              <w:top w:val="nil"/>
              <w:left w:val="nil"/>
              <w:bottom w:val="nil"/>
              <w:right w:val="nil"/>
            </w:tcBorders>
            <w:shd w:val="clear" w:color="auto" w:fill="auto"/>
            <w:vAlign w:val="bottom"/>
            <w:hideMark/>
          </w:tcPr>
          <w:p w:rsidR="007C261F" w:rsidRPr="001B7DC2" w:rsidRDefault="007C261F" w:rsidP="001B7DC2">
            <w:pPr>
              <w:spacing w:after="0"/>
              <w:jc w:val="right"/>
              <w:rPr>
                <w:rFonts w:eastAsia="Times New Roman" w:cs="Arial"/>
                <w:lang w:eastAsia="en-GB"/>
              </w:rPr>
            </w:pPr>
          </w:p>
        </w:tc>
      </w:tr>
      <w:tr w:rsidR="007C261F" w:rsidRPr="001B7DC2" w:rsidTr="0030037C">
        <w:trPr>
          <w:trHeight w:val="315"/>
        </w:trPr>
        <w:tc>
          <w:tcPr>
            <w:tcW w:w="3343" w:type="dxa"/>
            <w:gridSpan w:val="2"/>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b/>
                <w:bCs/>
                <w:lang w:eastAsia="en-GB"/>
              </w:rPr>
            </w:pPr>
            <w:r w:rsidRPr="001B7DC2">
              <w:rPr>
                <w:rFonts w:eastAsia="Times New Roman" w:cs="Arial"/>
                <w:b/>
                <w:bCs/>
                <w:lang w:eastAsia="en-GB"/>
              </w:rPr>
              <w:t>Highly Transparent Markets</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3069" w:type="dxa"/>
            <w:gridSpan w:val="2"/>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b/>
                <w:bCs/>
                <w:lang w:eastAsia="en-GB"/>
              </w:rPr>
            </w:pPr>
            <w:r w:rsidRPr="001B7DC2">
              <w:rPr>
                <w:rFonts w:eastAsia="Times New Roman" w:cs="Arial"/>
                <w:b/>
                <w:bCs/>
                <w:lang w:eastAsia="en-GB"/>
              </w:rPr>
              <w:t>Semi Transparent Markets</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1</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United States</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1.26</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29</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Taiwan</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2.6</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2</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United Kingdom</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1.33</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30</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Brazil - Tier 2</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2.75</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3</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Australia</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1.36</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31</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Turkey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2.76</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4</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Netherlands</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1.38</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32</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China - Tier 1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2.83</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5</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New Zealand</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1.48</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33</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Greece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2.84</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6</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Canada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1.56</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34</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Israel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2.85</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7</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France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1.57</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35</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Philippines</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2.86</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8</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Finland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1.57</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36</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Slovakia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2.9</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9</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Sweden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1.66</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37</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Russia - Tier 1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2.9</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10</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Switzerland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1.67</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38</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Indonesia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2.92</w:t>
            </w:r>
          </w:p>
        </w:tc>
      </w:tr>
      <w:tr w:rsidR="007C261F" w:rsidRPr="001B7DC2" w:rsidTr="0030037C">
        <w:trPr>
          <w:trHeight w:val="315"/>
        </w:trPr>
        <w:tc>
          <w:tcPr>
            <w:tcW w:w="3343" w:type="dxa"/>
            <w:gridSpan w:val="2"/>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b/>
                <w:bCs/>
                <w:lang w:eastAsia="en-GB"/>
              </w:rPr>
            </w:pPr>
            <w:r w:rsidRPr="001B7DC2">
              <w:rPr>
                <w:rFonts w:eastAsia="Times New Roman" w:cs="Arial"/>
                <w:b/>
                <w:bCs/>
                <w:lang w:eastAsia="en-GB"/>
              </w:rPr>
              <w:t>Transparent Markets</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39</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Thailand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2.94</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11</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Hong Kong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1.76</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40</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Romania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2.96</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12</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Germany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1.8</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41</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South Korea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2.96</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13</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Singapore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1.86</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42</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Puerto Rico</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2.96</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14</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Denmark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1.86</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43</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Mexico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2.97</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15</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Ireland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1.96</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44</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Russia - Tier 2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2.98</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16</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Spain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2.06</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45</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Chile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3.01</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17</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Belgium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2.07</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46</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China - Tier 2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3.04</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18</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Norway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2.08</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47</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UAE - Dubai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3.05</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19</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Poland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2.11</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48</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India - Tier 1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3.07</w:t>
            </w:r>
          </w:p>
        </w:tc>
      </w:tr>
      <w:tr w:rsidR="007C261F" w:rsidRPr="001B7DC2" w:rsidTr="0030037C">
        <w:trPr>
          <w:trHeight w:val="313"/>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20</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Italy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2.16</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49</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India - Tier 2</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3.08</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21</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South Africa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2.18</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50</w:t>
            </w: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India - Tier 3 </w:t>
            </w: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3.15</w:t>
            </w: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22</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Austria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2.22</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23</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Malaysia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2.32</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24</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Czech Republic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2.34</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25</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Japan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2.39</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26</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Hungary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2.53</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27</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 xml:space="preserve">Brazil - Tier 1 </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2.54</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r>
      <w:tr w:rsidR="007C261F" w:rsidRPr="001B7DC2" w:rsidTr="0030037C">
        <w:trPr>
          <w:trHeight w:val="315"/>
        </w:trPr>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28</w:t>
            </w:r>
          </w:p>
        </w:tc>
        <w:tc>
          <w:tcPr>
            <w:tcW w:w="2352"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r w:rsidRPr="001B7DC2">
              <w:rPr>
                <w:rFonts w:eastAsia="Times New Roman" w:cs="Arial"/>
                <w:lang w:eastAsia="en-GB"/>
              </w:rPr>
              <w:t>Portugal</w:t>
            </w:r>
          </w:p>
        </w:tc>
        <w:tc>
          <w:tcPr>
            <w:tcW w:w="1775" w:type="dxa"/>
            <w:tcBorders>
              <w:top w:val="nil"/>
              <w:left w:val="nil"/>
              <w:bottom w:val="nil"/>
              <w:right w:val="nil"/>
            </w:tcBorders>
            <w:shd w:val="clear" w:color="auto" w:fill="auto"/>
            <w:noWrap/>
            <w:vAlign w:val="bottom"/>
            <w:hideMark/>
          </w:tcPr>
          <w:p w:rsidR="007C261F" w:rsidRPr="001B7DC2" w:rsidRDefault="007C261F" w:rsidP="001B7DC2">
            <w:pPr>
              <w:spacing w:after="0"/>
              <w:jc w:val="right"/>
              <w:rPr>
                <w:rFonts w:eastAsia="Times New Roman" w:cs="Arial"/>
                <w:lang w:eastAsia="en-GB"/>
              </w:rPr>
            </w:pPr>
            <w:r w:rsidRPr="001B7DC2">
              <w:rPr>
                <w:rFonts w:eastAsia="Times New Roman" w:cs="Arial"/>
                <w:lang w:eastAsia="en-GB"/>
              </w:rPr>
              <w:t>2.54</w:t>
            </w:r>
          </w:p>
        </w:tc>
        <w:tc>
          <w:tcPr>
            <w:tcW w:w="426"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991"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2078"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c>
          <w:tcPr>
            <w:tcW w:w="1985" w:type="dxa"/>
            <w:tcBorders>
              <w:top w:val="nil"/>
              <w:left w:val="nil"/>
              <w:bottom w:val="nil"/>
              <w:right w:val="nil"/>
            </w:tcBorders>
            <w:shd w:val="clear" w:color="auto" w:fill="auto"/>
            <w:noWrap/>
            <w:vAlign w:val="bottom"/>
            <w:hideMark/>
          </w:tcPr>
          <w:p w:rsidR="007C261F" w:rsidRPr="001B7DC2" w:rsidRDefault="007C261F" w:rsidP="001B7DC2">
            <w:pPr>
              <w:spacing w:after="0"/>
              <w:rPr>
                <w:rFonts w:eastAsia="Times New Roman" w:cs="Arial"/>
                <w:lang w:eastAsia="en-GB"/>
              </w:rPr>
            </w:pPr>
          </w:p>
        </w:tc>
      </w:tr>
    </w:tbl>
    <w:p w:rsidR="007C261F" w:rsidRPr="001B7DC2" w:rsidRDefault="007C261F" w:rsidP="001B7DC2">
      <w:pPr>
        <w:tabs>
          <w:tab w:val="left" w:pos="3345"/>
        </w:tabs>
        <w:rPr>
          <w:rFonts w:cs="Arial"/>
          <w:u w:val="single"/>
        </w:rPr>
      </w:pPr>
    </w:p>
    <w:p w:rsidR="00BF15C2" w:rsidRPr="001B7DC2" w:rsidRDefault="00BF15C2" w:rsidP="001B7DC2">
      <w:pPr>
        <w:rPr>
          <w:rFonts w:cs="Arial"/>
        </w:rPr>
      </w:pPr>
      <w:r w:rsidRPr="001B7DC2">
        <w:rPr>
          <w:rFonts w:cs="Arial"/>
        </w:rPr>
        <w:br w:type="page"/>
      </w:r>
    </w:p>
    <w:p w:rsidR="0030037C" w:rsidRPr="001B7DC2" w:rsidRDefault="0030037C" w:rsidP="001B7DC2">
      <w:pPr>
        <w:jc w:val="right"/>
        <w:rPr>
          <w:rFonts w:cs="Arial"/>
          <w:b/>
        </w:rPr>
      </w:pPr>
      <w:r w:rsidRPr="001B7DC2">
        <w:rPr>
          <w:rFonts w:cs="Arial"/>
          <w:b/>
        </w:rPr>
        <w:lastRenderedPageBreak/>
        <w:t>Annex 2</w:t>
      </w:r>
    </w:p>
    <w:p w:rsidR="00BF15C2" w:rsidRPr="001B7DC2" w:rsidRDefault="00BF15C2" w:rsidP="001B7DC2">
      <w:pPr>
        <w:rPr>
          <w:rFonts w:cs="Arial"/>
        </w:rPr>
      </w:pPr>
      <w:r w:rsidRPr="001B7DC2">
        <w:rPr>
          <w:rFonts w:cs="Arial"/>
          <w:b/>
        </w:rPr>
        <w:t>LCPF Property Strategy</w:t>
      </w:r>
      <w:r w:rsidRPr="001B7DC2">
        <w:rPr>
          <w:rFonts w:cs="Arial"/>
        </w:rPr>
        <w:tab/>
      </w:r>
      <w:r w:rsidRPr="001B7DC2">
        <w:rPr>
          <w:rFonts w:cs="Arial"/>
        </w:rPr>
        <w:tab/>
      </w:r>
      <w:r w:rsidRPr="001B7DC2">
        <w:rPr>
          <w:rFonts w:cs="Arial"/>
        </w:rPr>
        <w:tab/>
      </w:r>
      <w:r w:rsidRPr="001B7DC2">
        <w:rPr>
          <w:rFonts w:cs="Arial"/>
        </w:rPr>
        <w:tab/>
      </w:r>
      <w:r w:rsidRPr="001B7DC2">
        <w:rPr>
          <w:rFonts w:cs="Arial"/>
        </w:rPr>
        <w:tab/>
      </w:r>
      <w:r w:rsidRPr="001B7DC2">
        <w:rPr>
          <w:rFonts w:cs="Arial"/>
        </w:rPr>
        <w:tab/>
      </w:r>
    </w:p>
    <w:p w:rsidR="00BF15C2" w:rsidRPr="001B7DC2" w:rsidRDefault="00994351" w:rsidP="001B7DC2">
      <w:pPr>
        <w:tabs>
          <w:tab w:val="left" w:pos="3345"/>
        </w:tabs>
        <w:rPr>
          <w:rFonts w:cs="Arial"/>
          <w:u w:val="single"/>
        </w:rPr>
      </w:pPr>
      <w:r w:rsidRPr="001B7DC2">
        <w:rPr>
          <w:rFonts w:cs="Arial"/>
          <w:u w:val="single"/>
        </w:rPr>
        <w:t xml:space="preserve">Comparison of </w:t>
      </w:r>
      <w:r w:rsidR="006938CE" w:rsidRPr="001B7DC2">
        <w:rPr>
          <w:rFonts w:cs="Arial"/>
          <w:u w:val="single"/>
        </w:rPr>
        <w:t xml:space="preserve">fund </w:t>
      </w:r>
      <w:r w:rsidRPr="001B7DC2">
        <w:rPr>
          <w:rFonts w:cs="Arial"/>
          <w:u w:val="single"/>
        </w:rPr>
        <w:t xml:space="preserve">cost structures </w:t>
      </w:r>
    </w:p>
    <w:p w:rsidR="0022288C" w:rsidRPr="001B7DC2" w:rsidRDefault="0022288C" w:rsidP="001B7DC2">
      <w:pPr>
        <w:jc w:val="both"/>
        <w:rPr>
          <w:rFonts w:cs="Arial"/>
        </w:rPr>
      </w:pPr>
      <w:r w:rsidRPr="001B7DC2">
        <w:rPr>
          <w:rFonts w:cs="Arial"/>
        </w:rPr>
        <w:t xml:space="preserve"> </w:t>
      </w:r>
    </w:p>
    <w:tbl>
      <w:tblPr>
        <w:tblW w:w="9149" w:type="dxa"/>
        <w:jc w:val="center"/>
        <w:tblInd w:w="93" w:type="dxa"/>
        <w:tblLook w:val="04A0"/>
      </w:tblPr>
      <w:tblGrid>
        <w:gridCol w:w="1370"/>
        <w:gridCol w:w="951"/>
        <w:gridCol w:w="950"/>
        <w:gridCol w:w="1286"/>
        <w:gridCol w:w="1246"/>
        <w:gridCol w:w="449"/>
        <w:gridCol w:w="1234"/>
        <w:gridCol w:w="467"/>
        <w:gridCol w:w="1196"/>
      </w:tblGrid>
      <w:tr w:rsidR="0022288C" w:rsidRPr="001B7DC2" w:rsidTr="0030037C">
        <w:trPr>
          <w:trHeight w:val="300"/>
          <w:jc w:val="center"/>
        </w:trPr>
        <w:tc>
          <w:tcPr>
            <w:tcW w:w="137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1"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Invesco</w:t>
            </w: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M&amp;G</w:t>
            </w: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Internal</w:t>
            </w:r>
          </w:p>
        </w:tc>
      </w:tr>
      <w:tr w:rsidR="0022288C" w:rsidRPr="001B7DC2" w:rsidTr="0030037C">
        <w:trPr>
          <w:trHeight w:val="300"/>
          <w:jc w:val="center"/>
        </w:trPr>
        <w:tc>
          <w:tcPr>
            <w:tcW w:w="137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1"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 xml:space="preserve">Year ended </w:t>
            </w: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Year ended</w:t>
            </w: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Portfolio</w:t>
            </w:r>
          </w:p>
        </w:tc>
      </w:tr>
      <w:tr w:rsidR="0022288C" w:rsidRPr="001B7DC2" w:rsidTr="0030037C">
        <w:trPr>
          <w:trHeight w:val="300"/>
          <w:jc w:val="center"/>
        </w:trPr>
        <w:tc>
          <w:tcPr>
            <w:tcW w:w="137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1"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30-Sep-12</w:t>
            </w: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31-Jul-12</w:t>
            </w: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31-Mar-12</w:t>
            </w:r>
          </w:p>
        </w:tc>
      </w:tr>
      <w:tr w:rsidR="0022288C" w:rsidRPr="001B7DC2" w:rsidTr="0030037C">
        <w:trPr>
          <w:trHeight w:val="300"/>
          <w:jc w:val="center"/>
        </w:trPr>
        <w:tc>
          <w:tcPr>
            <w:tcW w:w="137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1"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r>
      <w:tr w:rsidR="0022288C" w:rsidRPr="001B7DC2" w:rsidTr="0030037C">
        <w:trPr>
          <w:trHeight w:val="300"/>
          <w:jc w:val="center"/>
        </w:trPr>
        <w:tc>
          <w:tcPr>
            <w:tcW w:w="2321" w:type="dxa"/>
            <w:gridSpan w:val="2"/>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r w:rsidRPr="001B7DC2">
              <w:rPr>
                <w:rFonts w:eastAsia="Times New Roman" w:cs="Arial"/>
                <w:lang w:eastAsia="en-GB"/>
              </w:rPr>
              <w:t>Income Return</w:t>
            </w: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5.04%</w:t>
            </w: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4.57%</w:t>
            </w: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4.70%</w:t>
            </w:r>
          </w:p>
        </w:tc>
      </w:tr>
      <w:tr w:rsidR="0022288C" w:rsidRPr="001B7DC2" w:rsidTr="0030037C">
        <w:trPr>
          <w:trHeight w:val="300"/>
          <w:jc w:val="center"/>
        </w:trPr>
        <w:tc>
          <w:tcPr>
            <w:tcW w:w="2321" w:type="dxa"/>
            <w:gridSpan w:val="2"/>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r w:rsidRPr="001B7DC2">
              <w:rPr>
                <w:rFonts w:eastAsia="Times New Roman" w:cs="Arial"/>
                <w:lang w:eastAsia="en-GB"/>
              </w:rPr>
              <w:t>Capital Return</w:t>
            </w: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single" w:sz="4" w:space="0" w:color="auto"/>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1.28%</w:t>
            </w: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single" w:sz="4" w:space="0" w:color="auto"/>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-0.14%</w:t>
            </w: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single" w:sz="4" w:space="0" w:color="auto"/>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0.30%</w:t>
            </w:r>
          </w:p>
        </w:tc>
      </w:tr>
      <w:tr w:rsidR="0022288C" w:rsidRPr="001B7DC2" w:rsidTr="0030037C">
        <w:trPr>
          <w:trHeight w:val="300"/>
          <w:jc w:val="center"/>
        </w:trPr>
        <w:tc>
          <w:tcPr>
            <w:tcW w:w="3271" w:type="dxa"/>
            <w:gridSpan w:val="3"/>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r w:rsidRPr="001B7DC2">
              <w:rPr>
                <w:rFonts w:eastAsia="Times New Roman" w:cs="Arial"/>
                <w:lang w:eastAsia="en-GB"/>
              </w:rPr>
              <w:t>Net Return to investors</w:t>
            </w: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single" w:sz="4" w:space="0" w:color="auto"/>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6.32%</w:t>
            </w: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single" w:sz="4" w:space="0" w:color="auto"/>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4.43%</w:t>
            </w: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single" w:sz="4" w:space="0" w:color="auto"/>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5.00%</w:t>
            </w:r>
          </w:p>
        </w:tc>
      </w:tr>
      <w:tr w:rsidR="0022288C" w:rsidRPr="001B7DC2" w:rsidTr="0030037C">
        <w:trPr>
          <w:trHeight w:val="300"/>
          <w:jc w:val="center"/>
        </w:trPr>
        <w:tc>
          <w:tcPr>
            <w:tcW w:w="1370"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951"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950"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449"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467"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r>
      <w:tr w:rsidR="0022288C" w:rsidRPr="001B7DC2" w:rsidTr="0030037C">
        <w:trPr>
          <w:trHeight w:val="300"/>
          <w:jc w:val="center"/>
        </w:trPr>
        <w:tc>
          <w:tcPr>
            <w:tcW w:w="9149" w:type="dxa"/>
            <w:gridSpan w:val="9"/>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r>
      <w:tr w:rsidR="0022288C" w:rsidRPr="001B7DC2" w:rsidTr="0030037C">
        <w:trPr>
          <w:trHeight w:val="300"/>
          <w:jc w:val="center"/>
        </w:trPr>
        <w:tc>
          <w:tcPr>
            <w:tcW w:w="2321" w:type="dxa"/>
            <w:gridSpan w:val="2"/>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r w:rsidRPr="001B7DC2">
              <w:rPr>
                <w:rFonts w:eastAsia="Times New Roman" w:cs="Arial"/>
                <w:lang w:eastAsia="en-GB"/>
              </w:rPr>
              <w:t>Analysed as:</w:t>
            </w: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r>
      <w:tr w:rsidR="0022288C" w:rsidRPr="001B7DC2" w:rsidTr="0030037C">
        <w:trPr>
          <w:trHeight w:val="300"/>
          <w:jc w:val="center"/>
        </w:trPr>
        <w:tc>
          <w:tcPr>
            <w:tcW w:w="1370"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951"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950"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449"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467"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r>
      <w:tr w:rsidR="0022288C" w:rsidRPr="001B7DC2" w:rsidTr="0030037C">
        <w:trPr>
          <w:trHeight w:val="300"/>
          <w:jc w:val="center"/>
        </w:trPr>
        <w:tc>
          <w:tcPr>
            <w:tcW w:w="137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1"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r>
      <w:tr w:rsidR="0022288C" w:rsidRPr="001B7DC2" w:rsidTr="0030037C">
        <w:trPr>
          <w:trHeight w:val="300"/>
          <w:jc w:val="center"/>
        </w:trPr>
        <w:tc>
          <w:tcPr>
            <w:tcW w:w="4557" w:type="dxa"/>
            <w:gridSpan w:val="4"/>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r w:rsidRPr="001B7DC2">
              <w:rPr>
                <w:rFonts w:eastAsia="Times New Roman" w:cs="Arial"/>
                <w:lang w:eastAsia="en-GB"/>
              </w:rPr>
              <w:t>Property Valuation increase/(decrease)</w:t>
            </w: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5.14%</w:t>
            </w: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-1.00%</w:t>
            </w: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0.30%</w:t>
            </w:r>
          </w:p>
        </w:tc>
      </w:tr>
      <w:tr w:rsidR="0022288C" w:rsidRPr="001B7DC2" w:rsidTr="0030037C">
        <w:trPr>
          <w:trHeight w:val="300"/>
          <w:jc w:val="center"/>
        </w:trPr>
        <w:tc>
          <w:tcPr>
            <w:tcW w:w="3271" w:type="dxa"/>
            <w:gridSpan w:val="3"/>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r w:rsidRPr="001B7DC2">
              <w:rPr>
                <w:rFonts w:eastAsia="Times New Roman" w:cs="Arial"/>
                <w:lang w:eastAsia="en-GB"/>
              </w:rPr>
              <w:t xml:space="preserve">Rental income return </w:t>
            </w: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5.60%</w:t>
            </w: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7.02%</w:t>
            </w: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5.30%</w:t>
            </w:r>
          </w:p>
        </w:tc>
      </w:tr>
      <w:tr w:rsidR="0022288C" w:rsidRPr="001B7DC2" w:rsidTr="0030037C">
        <w:trPr>
          <w:trHeight w:val="300"/>
          <w:jc w:val="center"/>
        </w:trPr>
        <w:tc>
          <w:tcPr>
            <w:tcW w:w="137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1"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single" w:sz="4" w:space="0" w:color="auto"/>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single" w:sz="4" w:space="0" w:color="auto"/>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single" w:sz="4" w:space="0" w:color="auto"/>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r>
      <w:tr w:rsidR="0022288C" w:rsidRPr="001B7DC2" w:rsidTr="0030037C">
        <w:trPr>
          <w:trHeight w:val="300"/>
          <w:jc w:val="center"/>
        </w:trPr>
        <w:tc>
          <w:tcPr>
            <w:tcW w:w="2321" w:type="dxa"/>
            <w:gridSpan w:val="2"/>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r w:rsidRPr="001B7DC2">
              <w:rPr>
                <w:rFonts w:eastAsia="Times New Roman" w:cs="Arial"/>
                <w:lang w:eastAsia="en-GB"/>
              </w:rPr>
              <w:t>Gross return</w:t>
            </w: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single" w:sz="4" w:space="0" w:color="auto"/>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10.74%</w:t>
            </w: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single" w:sz="4" w:space="0" w:color="auto"/>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6.02%</w:t>
            </w: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single" w:sz="4" w:space="0" w:color="auto"/>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5.60%</w:t>
            </w:r>
          </w:p>
        </w:tc>
      </w:tr>
      <w:tr w:rsidR="0022288C" w:rsidRPr="001B7DC2" w:rsidTr="0030037C">
        <w:trPr>
          <w:trHeight w:val="300"/>
          <w:jc w:val="center"/>
        </w:trPr>
        <w:tc>
          <w:tcPr>
            <w:tcW w:w="1370"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951"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950"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449"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467"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r>
      <w:tr w:rsidR="0022288C" w:rsidRPr="001B7DC2" w:rsidTr="0030037C">
        <w:trPr>
          <w:trHeight w:val="300"/>
          <w:jc w:val="center"/>
        </w:trPr>
        <w:tc>
          <w:tcPr>
            <w:tcW w:w="4557" w:type="dxa"/>
            <w:gridSpan w:val="4"/>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r w:rsidRPr="001B7DC2">
              <w:rPr>
                <w:rFonts w:eastAsia="Times New Roman" w:cs="Arial"/>
                <w:lang w:eastAsia="en-GB"/>
              </w:rPr>
              <w:t>Amortisation of acquisition costs</w:t>
            </w:r>
          </w:p>
        </w:tc>
        <w:tc>
          <w:tcPr>
            <w:tcW w:w="1246" w:type="dxa"/>
            <w:tcBorders>
              <w:top w:val="nil"/>
              <w:left w:val="nil"/>
              <w:bottom w:val="nil"/>
              <w:right w:val="nil"/>
            </w:tcBorders>
            <w:shd w:val="clear" w:color="auto" w:fill="auto"/>
            <w:noWrap/>
            <w:vAlign w:val="bottom"/>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1.00%</w:t>
            </w:r>
          </w:p>
        </w:tc>
        <w:tc>
          <w:tcPr>
            <w:tcW w:w="449"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r w:rsidRPr="001B7DC2">
              <w:rPr>
                <w:rFonts w:eastAsia="Times New Roman" w:cs="Arial"/>
                <w:lang w:eastAsia="en-GB"/>
              </w:rPr>
              <w:t>*</w:t>
            </w:r>
          </w:p>
        </w:tc>
        <w:tc>
          <w:tcPr>
            <w:tcW w:w="1234" w:type="dxa"/>
            <w:tcBorders>
              <w:top w:val="nil"/>
              <w:left w:val="nil"/>
              <w:bottom w:val="nil"/>
              <w:right w:val="nil"/>
            </w:tcBorders>
            <w:shd w:val="clear" w:color="auto" w:fill="auto"/>
            <w:noWrap/>
            <w:vAlign w:val="bottom"/>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n/a</w:t>
            </w:r>
          </w:p>
        </w:tc>
        <w:tc>
          <w:tcPr>
            <w:tcW w:w="467" w:type="dxa"/>
            <w:tcBorders>
              <w:top w:val="nil"/>
              <w:left w:val="nil"/>
              <w:bottom w:val="nil"/>
              <w:right w:val="nil"/>
            </w:tcBorders>
            <w:shd w:val="clear" w:color="auto" w:fill="auto"/>
            <w:noWrap/>
            <w:vAlign w:val="bottom"/>
          </w:tcPr>
          <w:p w:rsidR="0022288C" w:rsidRPr="001B7DC2" w:rsidRDefault="0022288C" w:rsidP="001B7DC2">
            <w:pPr>
              <w:spacing w:after="0"/>
              <w:jc w:val="right"/>
              <w:rPr>
                <w:rFonts w:eastAsia="Times New Roman" w:cs="Arial"/>
                <w:lang w:eastAsia="en-GB"/>
              </w:rPr>
            </w:pPr>
          </w:p>
        </w:tc>
        <w:tc>
          <w:tcPr>
            <w:tcW w:w="1196" w:type="dxa"/>
            <w:tcBorders>
              <w:top w:val="nil"/>
              <w:left w:val="nil"/>
              <w:bottom w:val="nil"/>
              <w:right w:val="nil"/>
            </w:tcBorders>
            <w:shd w:val="clear" w:color="auto" w:fill="auto"/>
            <w:noWrap/>
            <w:vAlign w:val="bottom"/>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n/a</w:t>
            </w:r>
          </w:p>
        </w:tc>
      </w:tr>
      <w:tr w:rsidR="0022288C" w:rsidRPr="001B7DC2" w:rsidTr="0030037C">
        <w:trPr>
          <w:trHeight w:val="300"/>
          <w:jc w:val="center"/>
        </w:trPr>
        <w:tc>
          <w:tcPr>
            <w:tcW w:w="137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1"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r>
      <w:tr w:rsidR="0022288C" w:rsidRPr="001B7DC2" w:rsidTr="0030037C">
        <w:trPr>
          <w:trHeight w:val="300"/>
          <w:jc w:val="center"/>
        </w:trPr>
        <w:tc>
          <w:tcPr>
            <w:tcW w:w="3271" w:type="dxa"/>
            <w:gridSpan w:val="3"/>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r w:rsidRPr="001B7DC2">
              <w:rPr>
                <w:rFonts w:eastAsia="Times New Roman" w:cs="Arial"/>
                <w:lang w:eastAsia="en-GB"/>
              </w:rPr>
              <w:t>Return leakage/cost</w:t>
            </w: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3.42%</w:t>
            </w: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1.59%</w:t>
            </w: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0.60%</w:t>
            </w:r>
          </w:p>
        </w:tc>
      </w:tr>
      <w:tr w:rsidR="0022288C" w:rsidRPr="001B7DC2" w:rsidTr="0030037C">
        <w:trPr>
          <w:trHeight w:val="300"/>
          <w:jc w:val="center"/>
        </w:trPr>
        <w:tc>
          <w:tcPr>
            <w:tcW w:w="137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1"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single" w:sz="4" w:space="0" w:color="auto"/>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single" w:sz="4" w:space="0" w:color="auto"/>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single" w:sz="4" w:space="0" w:color="auto"/>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r>
      <w:tr w:rsidR="0022288C" w:rsidRPr="001B7DC2" w:rsidTr="0030037C">
        <w:trPr>
          <w:trHeight w:val="300"/>
          <w:jc w:val="center"/>
        </w:trPr>
        <w:tc>
          <w:tcPr>
            <w:tcW w:w="3271" w:type="dxa"/>
            <w:gridSpan w:val="3"/>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r w:rsidRPr="001B7DC2">
              <w:rPr>
                <w:rFonts w:eastAsia="Times New Roman" w:cs="Arial"/>
                <w:lang w:eastAsia="en-GB"/>
              </w:rPr>
              <w:t>Net return to investors</w:t>
            </w: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single" w:sz="4" w:space="0" w:color="auto"/>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6.32%</w:t>
            </w: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single" w:sz="4" w:space="0" w:color="auto"/>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4.43%</w:t>
            </w: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single" w:sz="4" w:space="0" w:color="auto"/>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5.00%</w:t>
            </w:r>
          </w:p>
        </w:tc>
      </w:tr>
      <w:tr w:rsidR="0022288C" w:rsidRPr="001B7DC2" w:rsidTr="0030037C">
        <w:trPr>
          <w:trHeight w:val="300"/>
          <w:jc w:val="center"/>
        </w:trPr>
        <w:tc>
          <w:tcPr>
            <w:tcW w:w="137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1"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r>
      <w:tr w:rsidR="0022288C" w:rsidRPr="001B7DC2" w:rsidTr="0030037C">
        <w:trPr>
          <w:trHeight w:val="300"/>
          <w:jc w:val="center"/>
        </w:trPr>
        <w:tc>
          <w:tcPr>
            <w:tcW w:w="4557" w:type="dxa"/>
            <w:gridSpan w:val="4"/>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r w:rsidRPr="001B7DC2">
              <w:rPr>
                <w:rFonts w:eastAsia="Times New Roman" w:cs="Arial"/>
                <w:lang w:eastAsia="en-GB"/>
              </w:rPr>
              <w:t>Total cost as a percentage of gross return</w:t>
            </w: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31.84%</w:t>
            </w: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26.41%</w:t>
            </w: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10.71%</w:t>
            </w:r>
          </w:p>
        </w:tc>
      </w:tr>
      <w:tr w:rsidR="0022288C" w:rsidRPr="001B7DC2" w:rsidTr="0030037C">
        <w:trPr>
          <w:trHeight w:val="300"/>
          <w:jc w:val="center"/>
        </w:trPr>
        <w:tc>
          <w:tcPr>
            <w:tcW w:w="137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1"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950"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8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r>
      <w:tr w:rsidR="0022288C" w:rsidRPr="001B7DC2" w:rsidTr="0030037C">
        <w:trPr>
          <w:trHeight w:val="300"/>
          <w:jc w:val="center"/>
        </w:trPr>
        <w:tc>
          <w:tcPr>
            <w:tcW w:w="4557" w:type="dxa"/>
            <w:gridSpan w:val="4"/>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r w:rsidRPr="001B7DC2">
              <w:rPr>
                <w:rFonts w:eastAsia="Times New Roman" w:cs="Arial"/>
                <w:lang w:eastAsia="en-GB"/>
              </w:rPr>
              <w:t>Gross return required to match UK net return</w:t>
            </w:r>
          </w:p>
        </w:tc>
        <w:tc>
          <w:tcPr>
            <w:tcW w:w="124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7.33%</w:t>
            </w:r>
          </w:p>
        </w:tc>
        <w:tc>
          <w:tcPr>
            <w:tcW w:w="449"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6.8</w:t>
            </w:r>
            <w:r w:rsidR="00A3494C" w:rsidRPr="001B7DC2">
              <w:rPr>
                <w:rFonts w:eastAsia="Times New Roman" w:cs="Arial"/>
                <w:lang w:eastAsia="en-GB"/>
              </w:rPr>
              <w:t>0</w:t>
            </w:r>
            <w:r w:rsidRPr="001B7DC2">
              <w:rPr>
                <w:rFonts w:eastAsia="Times New Roman" w:cs="Arial"/>
                <w:lang w:eastAsia="en-GB"/>
              </w:rPr>
              <w:t>%</w:t>
            </w:r>
          </w:p>
        </w:tc>
        <w:tc>
          <w:tcPr>
            <w:tcW w:w="467" w:type="dxa"/>
            <w:tcBorders>
              <w:top w:val="nil"/>
              <w:left w:val="nil"/>
              <w:bottom w:val="nil"/>
              <w:right w:val="nil"/>
            </w:tcBorders>
            <w:shd w:val="clear" w:color="auto" w:fill="auto"/>
            <w:noWrap/>
            <w:vAlign w:val="bottom"/>
            <w:hideMark/>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hideMark/>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5.60%</w:t>
            </w:r>
          </w:p>
        </w:tc>
      </w:tr>
      <w:tr w:rsidR="0022288C" w:rsidRPr="001B7DC2" w:rsidTr="0030037C">
        <w:trPr>
          <w:trHeight w:val="300"/>
          <w:jc w:val="center"/>
        </w:trPr>
        <w:tc>
          <w:tcPr>
            <w:tcW w:w="4557" w:type="dxa"/>
            <w:gridSpan w:val="4"/>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246" w:type="dxa"/>
            <w:tcBorders>
              <w:top w:val="nil"/>
              <w:left w:val="nil"/>
              <w:bottom w:val="nil"/>
              <w:right w:val="nil"/>
            </w:tcBorders>
            <w:shd w:val="clear" w:color="auto" w:fill="auto"/>
            <w:noWrap/>
            <w:vAlign w:val="bottom"/>
          </w:tcPr>
          <w:p w:rsidR="0022288C" w:rsidRPr="001B7DC2" w:rsidRDefault="0022288C" w:rsidP="001B7DC2">
            <w:pPr>
              <w:spacing w:after="0"/>
              <w:jc w:val="right"/>
              <w:rPr>
                <w:rFonts w:eastAsia="Times New Roman" w:cs="Arial"/>
                <w:lang w:eastAsia="en-GB"/>
              </w:rPr>
            </w:pPr>
          </w:p>
        </w:tc>
        <w:tc>
          <w:tcPr>
            <w:tcW w:w="449"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234" w:type="dxa"/>
            <w:tcBorders>
              <w:top w:val="nil"/>
              <w:left w:val="nil"/>
              <w:bottom w:val="nil"/>
              <w:right w:val="nil"/>
            </w:tcBorders>
            <w:shd w:val="clear" w:color="auto" w:fill="auto"/>
            <w:noWrap/>
            <w:vAlign w:val="bottom"/>
          </w:tcPr>
          <w:p w:rsidR="0022288C" w:rsidRPr="001B7DC2" w:rsidRDefault="0022288C" w:rsidP="001B7DC2">
            <w:pPr>
              <w:spacing w:after="0"/>
              <w:jc w:val="right"/>
              <w:rPr>
                <w:rFonts w:eastAsia="Times New Roman" w:cs="Arial"/>
                <w:lang w:eastAsia="en-GB"/>
              </w:rPr>
            </w:pPr>
          </w:p>
        </w:tc>
        <w:tc>
          <w:tcPr>
            <w:tcW w:w="467" w:type="dxa"/>
            <w:tcBorders>
              <w:top w:val="nil"/>
              <w:left w:val="nil"/>
              <w:bottom w:val="nil"/>
              <w:right w:val="nil"/>
            </w:tcBorders>
            <w:shd w:val="clear" w:color="auto" w:fill="auto"/>
            <w:noWrap/>
            <w:vAlign w:val="bottom"/>
          </w:tcPr>
          <w:p w:rsidR="0022288C" w:rsidRPr="001B7DC2" w:rsidRDefault="0022288C" w:rsidP="001B7DC2">
            <w:pPr>
              <w:spacing w:after="0"/>
              <w:rPr>
                <w:rFonts w:eastAsia="Times New Roman" w:cs="Arial"/>
                <w:lang w:eastAsia="en-GB"/>
              </w:rPr>
            </w:pPr>
          </w:p>
        </w:tc>
        <w:tc>
          <w:tcPr>
            <w:tcW w:w="1196" w:type="dxa"/>
            <w:tcBorders>
              <w:top w:val="nil"/>
              <w:left w:val="nil"/>
              <w:bottom w:val="nil"/>
              <w:right w:val="nil"/>
            </w:tcBorders>
            <w:shd w:val="clear" w:color="auto" w:fill="auto"/>
            <w:noWrap/>
            <w:vAlign w:val="bottom"/>
          </w:tcPr>
          <w:p w:rsidR="0022288C" w:rsidRPr="001B7DC2" w:rsidRDefault="0022288C" w:rsidP="001B7DC2">
            <w:pPr>
              <w:spacing w:after="0"/>
              <w:jc w:val="right"/>
              <w:rPr>
                <w:rFonts w:eastAsia="Times New Roman" w:cs="Arial"/>
                <w:lang w:eastAsia="en-GB"/>
              </w:rPr>
            </w:pPr>
          </w:p>
        </w:tc>
      </w:tr>
      <w:tr w:rsidR="0022288C" w:rsidRPr="001B7DC2" w:rsidTr="0030037C">
        <w:trPr>
          <w:trHeight w:val="300"/>
          <w:jc w:val="center"/>
        </w:trPr>
        <w:tc>
          <w:tcPr>
            <w:tcW w:w="9149" w:type="dxa"/>
            <w:gridSpan w:val="9"/>
            <w:tcBorders>
              <w:top w:val="nil"/>
              <w:left w:val="nil"/>
              <w:bottom w:val="nil"/>
              <w:right w:val="nil"/>
            </w:tcBorders>
            <w:shd w:val="clear" w:color="auto" w:fill="auto"/>
            <w:noWrap/>
            <w:vAlign w:val="bottom"/>
          </w:tcPr>
          <w:p w:rsidR="0022288C" w:rsidRPr="001B7DC2" w:rsidRDefault="0022288C" w:rsidP="001B7DC2">
            <w:pPr>
              <w:spacing w:after="0"/>
              <w:jc w:val="right"/>
              <w:rPr>
                <w:rFonts w:eastAsia="Times New Roman" w:cs="Arial"/>
                <w:lang w:eastAsia="en-GB"/>
              </w:rPr>
            </w:pPr>
            <w:r w:rsidRPr="001B7DC2">
              <w:rPr>
                <w:rFonts w:eastAsia="Times New Roman" w:cs="Arial"/>
                <w:lang w:eastAsia="en-GB"/>
              </w:rPr>
              <w:t>*:  Invesco amortises its acquisition costs over 5 years through NAV, others charge acquisition costs</w:t>
            </w:r>
          </w:p>
        </w:tc>
      </w:tr>
    </w:tbl>
    <w:p w:rsidR="00354091" w:rsidRPr="001B7DC2" w:rsidRDefault="00354091" w:rsidP="001B7DC2">
      <w:pPr>
        <w:rPr>
          <w:rFonts w:cs="Arial"/>
        </w:rPr>
      </w:pPr>
    </w:p>
    <w:sectPr w:rsidR="00354091" w:rsidRPr="001B7DC2" w:rsidSect="00B067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D3E"/>
    <w:multiLevelType w:val="hybridMultilevel"/>
    <w:tmpl w:val="862261D6"/>
    <w:lvl w:ilvl="0" w:tplc="B8CA8E1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8665E"/>
    <w:multiLevelType w:val="hybridMultilevel"/>
    <w:tmpl w:val="2C783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5A34B2"/>
    <w:multiLevelType w:val="hybridMultilevel"/>
    <w:tmpl w:val="40046084"/>
    <w:lvl w:ilvl="0" w:tplc="9E7C8CE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A1B4C5A"/>
    <w:multiLevelType w:val="hybridMultilevel"/>
    <w:tmpl w:val="EF764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6BF5578"/>
    <w:multiLevelType w:val="hybridMultilevel"/>
    <w:tmpl w:val="D150A246"/>
    <w:lvl w:ilvl="0" w:tplc="09E4DADC">
      <w:start w:val="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99E4477"/>
    <w:multiLevelType w:val="hybridMultilevel"/>
    <w:tmpl w:val="8C8E8DA4"/>
    <w:lvl w:ilvl="0" w:tplc="671AA724">
      <w:start w:val="2"/>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BB21312"/>
    <w:multiLevelType w:val="hybridMultilevel"/>
    <w:tmpl w:val="45FA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82530C"/>
    <w:multiLevelType w:val="hybridMultilevel"/>
    <w:tmpl w:val="38D24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B2671"/>
    <w:rsid w:val="000053C1"/>
    <w:rsid w:val="000078ED"/>
    <w:rsid w:val="000320C1"/>
    <w:rsid w:val="000357B8"/>
    <w:rsid w:val="00041711"/>
    <w:rsid w:val="00044F08"/>
    <w:rsid w:val="000474A3"/>
    <w:rsid w:val="00053ED3"/>
    <w:rsid w:val="000606F0"/>
    <w:rsid w:val="00077805"/>
    <w:rsid w:val="00084733"/>
    <w:rsid w:val="000A2955"/>
    <w:rsid w:val="000A4C9F"/>
    <w:rsid w:val="000C2636"/>
    <w:rsid w:val="000C4620"/>
    <w:rsid w:val="000E3287"/>
    <w:rsid w:val="000E5BC6"/>
    <w:rsid w:val="000F680D"/>
    <w:rsid w:val="0011135B"/>
    <w:rsid w:val="00127041"/>
    <w:rsid w:val="001303AD"/>
    <w:rsid w:val="00130687"/>
    <w:rsid w:val="00140364"/>
    <w:rsid w:val="00151F54"/>
    <w:rsid w:val="001568F7"/>
    <w:rsid w:val="00165CA1"/>
    <w:rsid w:val="00166C33"/>
    <w:rsid w:val="0017061B"/>
    <w:rsid w:val="001725CA"/>
    <w:rsid w:val="001A04AC"/>
    <w:rsid w:val="001A3012"/>
    <w:rsid w:val="001B3E53"/>
    <w:rsid w:val="001B7DC2"/>
    <w:rsid w:val="001D19DB"/>
    <w:rsid w:val="001D4B36"/>
    <w:rsid w:val="001F48DC"/>
    <w:rsid w:val="002048F5"/>
    <w:rsid w:val="00212F7E"/>
    <w:rsid w:val="0022288C"/>
    <w:rsid w:val="00231133"/>
    <w:rsid w:val="0023315B"/>
    <w:rsid w:val="00233F1E"/>
    <w:rsid w:val="0024023A"/>
    <w:rsid w:val="00263B59"/>
    <w:rsid w:val="00264C38"/>
    <w:rsid w:val="0028455A"/>
    <w:rsid w:val="00285910"/>
    <w:rsid w:val="002873BE"/>
    <w:rsid w:val="0029147D"/>
    <w:rsid w:val="00297CB4"/>
    <w:rsid w:val="002A1AFB"/>
    <w:rsid w:val="002A6447"/>
    <w:rsid w:val="002B04B3"/>
    <w:rsid w:val="002B4FE7"/>
    <w:rsid w:val="002B769C"/>
    <w:rsid w:val="002D0FB1"/>
    <w:rsid w:val="002F28F5"/>
    <w:rsid w:val="0030037C"/>
    <w:rsid w:val="003079E8"/>
    <w:rsid w:val="00314FBB"/>
    <w:rsid w:val="003151EA"/>
    <w:rsid w:val="00327D2B"/>
    <w:rsid w:val="00331E33"/>
    <w:rsid w:val="00354091"/>
    <w:rsid w:val="0035429A"/>
    <w:rsid w:val="003619B9"/>
    <w:rsid w:val="003734C0"/>
    <w:rsid w:val="003743DF"/>
    <w:rsid w:val="00386EA3"/>
    <w:rsid w:val="003A14EB"/>
    <w:rsid w:val="003A6B33"/>
    <w:rsid w:val="003B2671"/>
    <w:rsid w:val="003B3BDB"/>
    <w:rsid w:val="003B6AC1"/>
    <w:rsid w:val="003C0339"/>
    <w:rsid w:val="003D4A73"/>
    <w:rsid w:val="003E073C"/>
    <w:rsid w:val="003E5605"/>
    <w:rsid w:val="003F2C23"/>
    <w:rsid w:val="003F631F"/>
    <w:rsid w:val="00416B16"/>
    <w:rsid w:val="004346AF"/>
    <w:rsid w:val="004420E9"/>
    <w:rsid w:val="0044450C"/>
    <w:rsid w:val="0047196C"/>
    <w:rsid w:val="004860DA"/>
    <w:rsid w:val="00493253"/>
    <w:rsid w:val="004A1BE3"/>
    <w:rsid w:val="004A3F48"/>
    <w:rsid w:val="004A7751"/>
    <w:rsid w:val="004A7F4C"/>
    <w:rsid w:val="004B0483"/>
    <w:rsid w:val="004B2270"/>
    <w:rsid w:val="004E77FF"/>
    <w:rsid w:val="004F35D4"/>
    <w:rsid w:val="004F39FA"/>
    <w:rsid w:val="004F5B53"/>
    <w:rsid w:val="004F7E59"/>
    <w:rsid w:val="00504C78"/>
    <w:rsid w:val="00521E5C"/>
    <w:rsid w:val="00534FFD"/>
    <w:rsid w:val="00544812"/>
    <w:rsid w:val="00550C3F"/>
    <w:rsid w:val="00551424"/>
    <w:rsid w:val="00563F2F"/>
    <w:rsid w:val="005A3595"/>
    <w:rsid w:val="005C65CF"/>
    <w:rsid w:val="005E0E09"/>
    <w:rsid w:val="005E6622"/>
    <w:rsid w:val="00614B27"/>
    <w:rsid w:val="0061586B"/>
    <w:rsid w:val="00646C60"/>
    <w:rsid w:val="00652C98"/>
    <w:rsid w:val="00654975"/>
    <w:rsid w:val="00671E34"/>
    <w:rsid w:val="00683284"/>
    <w:rsid w:val="00685236"/>
    <w:rsid w:val="006938CE"/>
    <w:rsid w:val="006A2993"/>
    <w:rsid w:val="006A5500"/>
    <w:rsid w:val="006A7AD9"/>
    <w:rsid w:val="006B0ECE"/>
    <w:rsid w:val="006B2FAC"/>
    <w:rsid w:val="006C1FA7"/>
    <w:rsid w:val="006C2468"/>
    <w:rsid w:val="006D27FE"/>
    <w:rsid w:val="006F6F93"/>
    <w:rsid w:val="00710622"/>
    <w:rsid w:val="0072381A"/>
    <w:rsid w:val="00734088"/>
    <w:rsid w:val="00735113"/>
    <w:rsid w:val="00737EAD"/>
    <w:rsid w:val="0074389C"/>
    <w:rsid w:val="00764AB8"/>
    <w:rsid w:val="00764F86"/>
    <w:rsid w:val="007701FF"/>
    <w:rsid w:val="00775DE7"/>
    <w:rsid w:val="00780550"/>
    <w:rsid w:val="00780921"/>
    <w:rsid w:val="00782C9D"/>
    <w:rsid w:val="007931E7"/>
    <w:rsid w:val="007A06C0"/>
    <w:rsid w:val="007A38CB"/>
    <w:rsid w:val="007B270D"/>
    <w:rsid w:val="007B27E9"/>
    <w:rsid w:val="007B542D"/>
    <w:rsid w:val="007C261F"/>
    <w:rsid w:val="007D0819"/>
    <w:rsid w:val="00800C72"/>
    <w:rsid w:val="008018D5"/>
    <w:rsid w:val="008063B0"/>
    <w:rsid w:val="00813FB6"/>
    <w:rsid w:val="00820967"/>
    <w:rsid w:val="00821F48"/>
    <w:rsid w:val="008435BF"/>
    <w:rsid w:val="00847780"/>
    <w:rsid w:val="00855F14"/>
    <w:rsid w:val="00881C39"/>
    <w:rsid w:val="00881F09"/>
    <w:rsid w:val="00885844"/>
    <w:rsid w:val="008C1024"/>
    <w:rsid w:val="008C13E5"/>
    <w:rsid w:val="008C1EF0"/>
    <w:rsid w:val="008E2BC9"/>
    <w:rsid w:val="008E47EE"/>
    <w:rsid w:val="008E5A1A"/>
    <w:rsid w:val="008E5C46"/>
    <w:rsid w:val="008F6292"/>
    <w:rsid w:val="008F6EA4"/>
    <w:rsid w:val="009076E1"/>
    <w:rsid w:val="00914643"/>
    <w:rsid w:val="00926203"/>
    <w:rsid w:val="00926904"/>
    <w:rsid w:val="00930CBE"/>
    <w:rsid w:val="00935F3C"/>
    <w:rsid w:val="00936A1B"/>
    <w:rsid w:val="00936F2B"/>
    <w:rsid w:val="00952B1D"/>
    <w:rsid w:val="00981771"/>
    <w:rsid w:val="00981A71"/>
    <w:rsid w:val="00981B05"/>
    <w:rsid w:val="00994351"/>
    <w:rsid w:val="00995D03"/>
    <w:rsid w:val="009B25A1"/>
    <w:rsid w:val="009B3C36"/>
    <w:rsid w:val="009C649E"/>
    <w:rsid w:val="009C71BD"/>
    <w:rsid w:val="009D4081"/>
    <w:rsid w:val="009D439E"/>
    <w:rsid w:val="009E3C93"/>
    <w:rsid w:val="009E7B51"/>
    <w:rsid w:val="009F15AF"/>
    <w:rsid w:val="009F1E82"/>
    <w:rsid w:val="009F5436"/>
    <w:rsid w:val="00A11E40"/>
    <w:rsid w:val="00A23BF3"/>
    <w:rsid w:val="00A25624"/>
    <w:rsid w:val="00A3494C"/>
    <w:rsid w:val="00A411C5"/>
    <w:rsid w:val="00A46B20"/>
    <w:rsid w:val="00A520EB"/>
    <w:rsid w:val="00A53485"/>
    <w:rsid w:val="00A75122"/>
    <w:rsid w:val="00A85A12"/>
    <w:rsid w:val="00A979FE"/>
    <w:rsid w:val="00AA5232"/>
    <w:rsid w:val="00AA652C"/>
    <w:rsid w:val="00AB3275"/>
    <w:rsid w:val="00AC054E"/>
    <w:rsid w:val="00AC48CC"/>
    <w:rsid w:val="00AC4D80"/>
    <w:rsid w:val="00AC62BD"/>
    <w:rsid w:val="00AD3037"/>
    <w:rsid w:val="00AE3CB9"/>
    <w:rsid w:val="00AF6A5A"/>
    <w:rsid w:val="00B06288"/>
    <w:rsid w:val="00B0670D"/>
    <w:rsid w:val="00B140FD"/>
    <w:rsid w:val="00B3018F"/>
    <w:rsid w:val="00B31B2A"/>
    <w:rsid w:val="00B5417A"/>
    <w:rsid w:val="00B56760"/>
    <w:rsid w:val="00B61C0D"/>
    <w:rsid w:val="00B874ED"/>
    <w:rsid w:val="00BA2B91"/>
    <w:rsid w:val="00BA70E2"/>
    <w:rsid w:val="00BC3844"/>
    <w:rsid w:val="00BC735F"/>
    <w:rsid w:val="00BD3EEF"/>
    <w:rsid w:val="00BD4C57"/>
    <w:rsid w:val="00BE0B77"/>
    <w:rsid w:val="00BF15C2"/>
    <w:rsid w:val="00C00C1C"/>
    <w:rsid w:val="00C03FA5"/>
    <w:rsid w:val="00C0607C"/>
    <w:rsid w:val="00C23200"/>
    <w:rsid w:val="00C329AE"/>
    <w:rsid w:val="00C401CE"/>
    <w:rsid w:val="00C423A1"/>
    <w:rsid w:val="00C514C6"/>
    <w:rsid w:val="00C560B9"/>
    <w:rsid w:val="00C666A9"/>
    <w:rsid w:val="00C7268A"/>
    <w:rsid w:val="00C726BC"/>
    <w:rsid w:val="00C8070C"/>
    <w:rsid w:val="00C82E7D"/>
    <w:rsid w:val="00C83BE0"/>
    <w:rsid w:val="00C90002"/>
    <w:rsid w:val="00C902F5"/>
    <w:rsid w:val="00C93872"/>
    <w:rsid w:val="00C9428C"/>
    <w:rsid w:val="00C97986"/>
    <w:rsid w:val="00CA08E8"/>
    <w:rsid w:val="00CA1BC2"/>
    <w:rsid w:val="00CB4987"/>
    <w:rsid w:val="00CC3FE8"/>
    <w:rsid w:val="00CC5D64"/>
    <w:rsid w:val="00CD1CF6"/>
    <w:rsid w:val="00CE6429"/>
    <w:rsid w:val="00CE7B25"/>
    <w:rsid w:val="00CE7BA2"/>
    <w:rsid w:val="00D14A68"/>
    <w:rsid w:val="00D2472C"/>
    <w:rsid w:val="00D27636"/>
    <w:rsid w:val="00D35D5F"/>
    <w:rsid w:val="00D367C5"/>
    <w:rsid w:val="00D46EBA"/>
    <w:rsid w:val="00D51A11"/>
    <w:rsid w:val="00D56D34"/>
    <w:rsid w:val="00D6412D"/>
    <w:rsid w:val="00D64F1E"/>
    <w:rsid w:val="00D82621"/>
    <w:rsid w:val="00D94A44"/>
    <w:rsid w:val="00DA0DA8"/>
    <w:rsid w:val="00DA52DA"/>
    <w:rsid w:val="00DA77B4"/>
    <w:rsid w:val="00DB5E23"/>
    <w:rsid w:val="00DD572A"/>
    <w:rsid w:val="00DF6977"/>
    <w:rsid w:val="00E16A0C"/>
    <w:rsid w:val="00E25F7F"/>
    <w:rsid w:val="00E408E1"/>
    <w:rsid w:val="00E45C87"/>
    <w:rsid w:val="00E46173"/>
    <w:rsid w:val="00E50DA9"/>
    <w:rsid w:val="00E54C64"/>
    <w:rsid w:val="00E62D83"/>
    <w:rsid w:val="00E72327"/>
    <w:rsid w:val="00E81DEE"/>
    <w:rsid w:val="00E82F3D"/>
    <w:rsid w:val="00EA618E"/>
    <w:rsid w:val="00EB4D08"/>
    <w:rsid w:val="00EB52B3"/>
    <w:rsid w:val="00EC57A0"/>
    <w:rsid w:val="00EE74E8"/>
    <w:rsid w:val="00EF1188"/>
    <w:rsid w:val="00EF1C6E"/>
    <w:rsid w:val="00F00144"/>
    <w:rsid w:val="00F0241D"/>
    <w:rsid w:val="00F0725F"/>
    <w:rsid w:val="00F139FC"/>
    <w:rsid w:val="00F23480"/>
    <w:rsid w:val="00F25763"/>
    <w:rsid w:val="00F26C98"/>
    <w:rsid w:val="00F3220F"/>
    <w:rsid w:val="00F40EED"/>
    <w:rsid w:val="00F52B4B"/>
    <w:rsid w:val="00F57183"/>
    <w:rsid w:val="00F6157C"/>
    <w:rsid w:val="00F71547"/>
    <w:rsid w:val="00F7350B"/>
    <w:rsid w:val="00F74E62"/>
    <w:rsid w:val="00F818E8"/>
    <w:rsid w:val="00F95F07"/>
    <w:rsid w:val="00F97509"/>
    <w:rsid w:val="00FA1AFB"/>
    <w:rsid w:val="00FC2C5A"/>
    <w:rsid w:val="00FD0A95"/>
    <w:rsid w:val="00FD16AD"/>
    <w:rsid w:val="00FF23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2671"/>
    <w:pPr>
      <w:spacing w:line="240" w:lineRule="auto"/>
    </w:pPr>
    <w:rPr>
      <w:rFonts w:ascii="Arial" w:eastAsia="Cambria" w:hAnsi="Arial" w:cs="Times New Roman"/>
      <w:color w:val="000000"/>
      <w:sz w:val="24"/>
      <w:szCs w:val="24"/>
    </w:rPr>
  </w:style>
  <w:style w:type="paragraph" w:styleId="Heading1">
    <w:name w:val="heading 1"/>
    <w:basedOn w:val="Normal"/>
    <w:next w:val="Normal"/>
    <w:link w:val="Heading1Char"/>
    <w:qFormat/>
    <w:rsid w:val="002048F5"/>
    <w:pPr>
      <w:spacing w:before="120"/>
      <w:outlineLvl w:val="0"/>
    </w:pPr>
    <w:rPr>
      <w:rFonts w:ascii="Corbel" w:eastAsia="Times New Roman" w:hAnsi="Corbel"/>
      <w:b/>
      <w:bCs/>
      <w:color w:val="auto"/>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671"/>
    <w:pPr>
      <w:spacing w:after="0" w:line="240" w:lineRule="auto"/>
    </w:pPr>
    <w:rPr>
      <w:rFonts w:ascii="Cambria" w:eastAsia="Cambria"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7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71"/>
    <w:rPr>
      <w:rFonts w:ascii="Tahoma" w:eastAsia="Cambria" w:hAnsi="Tahoma" w:cs="Tahoma"/>
      <w:color w:val="000000"/>
      <w:sz w:val="16"/>
      <w:szCs w:val="16"/>
    </w:rPr>
  </w:style>
  <w:style w:type="character" w:customStyle="1" w:styleId="Heading1Char">
    <w:name w:val="Heading 1 Char"/>
    <w:basedOn w:val="DefaultParagraphFont"/>
    <w:link w:val="Heading1"/>
    <w:rsid w:val="002048F5"/>
    <w:rPr>
      <w:rFonts w:ascii="Corbel" w:eastAsia="Times New Roman" w:hAnsi="Corbel" w:cs="Times New Roman"/>
      <w:b/>
      <w:bCs/>
      <w:sz w:val="40"/>
      <w:szCs w:val="28"/>
    </w:rPr>
  </w:style>
  <w:style w:type="paragraph" w:styleId="ListParagraph">
    <w:name w:val="List Paragraph"/>
    <w:basedOn w:val="Normal"/>
    <w:uiPriority w:val="34"/>
    <w:qFormat/>
    <w:rsid w:val="000357B8"/>
    <w:pPr>
      <w:ind w:left="720"/>
      <w:contextualSpacing/>
    </w:pPr>
  </w:style>
  <w:style w:type="character" w:styleId="CommentReference">
    <w:name w:val="annotation reference"/>
    <w:basedOn w:val="DefaultParagraphFont"/>
    <w:uiPriority w:val="99"/>
    <w:semiHidden/>
    <w:unhideWhenUsed/>
    <w:rsid w:val="00D2472C"/>
    <w:rPr>
      <w:sz w:val="16"/>
      <w:szCs w:val="16"/>
    </w:rPr>
  </w:style>
  <w:style w:type="paragraph" w:styleId="CommentText">
    <w:name w:val="annotation text"/>
    <w:basedOn w:val="Normal"/>
    <w:link w:val="CommentTextChar"/>
    <w:uiPriority w:val="99"/>
    <w:semiHidden/>
    <w:unhideWhenUsed/>
    <w:rsid w:val="00D2472C"/>
    <w:rPr>
      <w:sz w:val="20"/>
      <w:szCs w:val="20"/>
    </w:rPr>
  </w:style>
  <w:style w:type="character" w:customStyle="1" w:styleId="CommentTextChar">
    <w:name w:val="Comment Text Char"/>
    <w:basedOn w:val="DefaultParagraphFont"/>
    <w:link w:val="CommentText"/>
    <w:uiPriority w:val="99"/>
    <w:semiHidden/>
    <w:rsid w:val="00D2472C"/>
    <w:rPr>
      <w:rFonts w:ascii="Arial" w:eastAsia="Cambria" w:hAnsi="Arial" w:cs="Times New Roman"/>
      <w:color w:val="000000"/>
      <w:sz w:val="20"/>
      <w:szCs w:val="20"/>
    </w:rPr>
  </w:style>
  <w:style w:type="paragraph" w:styleId="Revision">
    <w:name w:val="Revision"/>
    <w:hidden/>
    <w:uiPriority w:val="99"/>
    <w:semiHidden/>
    <w:rsid w:val="00652C98"/>
    <w:pPr>
      <w:spacing w:after="0" w:line="240" w:lineRule="auto"/>
    </w:pPr>
    <w:rPr>
      <w:rFonts w:ascii="Arial" w:eastAsia="Cambria" w:hAnsi="Aria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2671"/>
    <w:pPr>
      <w:spacing w:line="240" w:lineRule="auto"/>
    </w:pPr>
    <w:rPr>
      <w:rFonts w:ascii="Arial" w:eastAsia="Cambria" w:hAnsi="Arial" w:cs="Times New Roman"/>
      <w:color w:val="000000"/>
      <w:sz w:val="24"/>
      <w:szCs w:val="24"/>
    </w:rPr>
  </w:style>
  <w:style w:type="paragraph" w:styleId="Heading1">
    <w:name w:val="heading 1"/>
    <w:basedOn w:val="Normal"/>
    <w:next w:val="Normal"/>
    <w:link w:val="Heading1Char"/>
    <w:qFormat/>
    <w:rsid w:val="002048F5"/>
    <w:pPr>
      <w:spacing w:before="120"/>
      <w:outlineLvl w:val="0"/>
    </w:pPr>
    <w:rPr>
      <w:rFonts w:ascii="Corbel" w:eastAsia="Times New Roman" w:hAnsi="Corbel"/>
      <w:b/>
      <w:bCs/>
      <w:color w:val="auto"/>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671"/>
    <w:pPr>
      <w:spacing w:after="0" w:line="240" w:lineRule="auto"/>
    </w:pPr>
    <w:rPr>
      <w:rFonts w:ascii="Cambria" w:eastAsia="Cambria"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7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71"/>
    <w:rPr>
      <w:rFonts w:ascii="Tahoma" w:eastAsia="Cambria" w:hAnsi="Tahoma" w:cs="Tahoma"/>
      <w:color w:val="000000"/>
      <w:sz w:val="16"/>
      <w:szCs w:val="16"/>
    </w:rPr>
  </w:style>
  <w:style w:type="character" w:customStyle="1" w:styleId="Heading1Char">
    <w:name w:val="Heading 1 Char"/>
    <w:basedOn w:val="DefaultParagraphFont"/>
    <w:link w:val="Heading1"/>
    <w:rsid w:val="002048F5"/>
    <w:rPr>
      <w:rFonts w:ascii="Corbel" w:eastAsia="Times New Roman" w:hAnsi="Corbel" w:cs="Times New Roman"/>
      <w:b/>
      <w:bCs/>
      <w:sz w:val="40"/>
      <w:szCs w:val="28"/>
    </w:rPr>
  </w:style>
  <w:style w:type="paragraph" w:styleId="ListParagraph">
    <w:name w:val="List Paragraph"/>
    <w:basedOn w:val="Normal"/>
    <w:uiPriority w:val="34"/>
    <w:qFormat/>
    <w:rsid w:val="000357B8"/>
    <w:pPr>
      <w:ind w:left="720"/>
      <w:contextualSpacing/>
    </w:pPr>
  </w:style>
  <w:style w:type="character" w:styleId="CommentReference">
    <w:name w:val="annotation reference"/>
    <w:basedOn w:val="DefaultParagraphFont"/>
    <w:uiPriority w:val="99"/>
    <w:semiHidden/>
    <w:unhideWhenUsed/>
    <w:rsid w:val="00D2472C"/>
    <w:rPr>
      <w:sz w:val="16"/>
      <w:szCs w:val="16"/>
    </w:rPr>
  </w:style>
  <w:style w:type="paragraph" w:styleId="CommentText">
    <w:name w:val="annotation text"/>
    <w:basedOn w:val="Normal"/>
    <w:link w:val="CommentTextChar"/>
    <w:uiPriority w:val="99"/>
    <w:semiHidden/>
    <w:unhideWhenUsed/>
    <w:rsid w:val="00D2472C"/>
    <w:rPr>
      <w:sz w:val="20"/>
      <w:szCs w:val="20"/>
    </w:rPr>
  </w:style>
  <w:style w:type="character" w:customStyle="1" w:styleId="CommentTextChar">
    <w:name w:val="Comment Text Char"/>
    <w:basedOn w:val="DefaultParagraphFont"/>
    <w:link w:val="CommentText"/>
    <w:uiPriority w:val="99"/>
    <w:semiHidden/>
    <w:rsid w:val="00D2472C"/>
    <w:rPr>
      <w:rFonts w:ascii="Arial" w:eastAsia="Cambria" w:hAnsi="Arial" w:cs="Times New Roman"/>
      <w:color w:val="000000"/>
      <w:sz w:val="20"/>
      <w:szCs w:val="20"/>
    </w:rPr>
  </w:style>
  <w:style w:type="paragraph" w:styleId="Revision">
    <w:name w:val="Revision"/>
    <w:hidden/>
    <w:uiPriority w:val="99"/>
    <w:semiHidden/>
    <w:rsid w:val="00652C98"/>
    <w:pPr>
      <w:spacing w:after="0" w:line="240" w:lineRule="auto"/>
    </w:pPr>
    <w:rPr>
      <w:rFonts w:ascii="Arial" w:eastAsia="Cambria" w:hAnsi="Arial"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7486072">
      <w:bodyDiv w:val="1"/>
      <w:marLeft w:val="0"/>
      <w:marRight w:val="0"/>
      <w:marTop w:val="0"/>
      <w:marBottom w:val="0"/>
      <w:divBdr>
        <w:top w:val="none" w:sz="0" w:space="0" w:color="auto"/>
        <w:left w:val="none" w:sz="0" w:space="0" w:color="auto"/>
        <w:bottom w:val="none" w:sz="0" w:space="0" w:color="auto"/>
        <w:right w:val="none" w:sz="0" w:space="0" w:color="auto"/>
      </w:divBdr>
    </w:div>
    <w:div w:id="245505404">
      <w:bodyDiv w:val="1"/>
      <w:marLeft w:val="0"/>
      <w:marRight w:val="0"/>
      <w:marTop w:val="0"/>
      <w:marBottom w:val="0"/>
      <w:divBdr>
        <w:top w:val="none" w:sz="0" w:space="0" w:color="auto"/>
        <w:left w:val="none" w:sz="0" w:space="0" w:color="auto"/>
        <w:bottom w:val="none" w:sz="0" w:space="0" w:color="auto"/>
        <w:right w:val="none" w:sz="0" w:space="0" w:color="auto"/>
      </w:divBdr>
    </w:div>
    <w:div w:id="457339284">
      <w:bodyDiv w:val="1"/>
      <w:marLeft w:val="0"/>
      <w:marRight w:val="0"/>
      <w:marTop w:val="0"/>
      <w:marBottom w:val="0"/>
      <w:divBdr>
        <w:top w:val="none" w:sz="0" w:space="0" w:color="auto"/>
        <w:left w:val="none" w:sz="0" w:space="0" w:color="auto"/>
        <w:bottom w:val="none" w:sz="0" w:space="0" w:color="auto"/>
        <w:right w:val="none" w:sz="0" w:space="0" w:color="auto"/>
      </w:divBdr>
    </w:div>
    <w:div w:id="864051758">
      <w:bodyDiv w:val="1"/>
      <w:marLeft w:val="0"/>
      <w:marRight w:val="0"/>
      <w:marTop w:val="0"/>
      <w:marBottom w:val="0"/>
      <w:divBdr>
        <w:top w:val="none" w:sz="0" w:space="0" w:color="auto"/>
        <w:left w:val="none" w:sz="0" w:space="0" w:color="auto"/>
        <w:bottom w:val="none" w:sz="0" w:space="0" w:color="auto"/>
        <w:right w:val="none" w:sz="0" w:space="0" w:color="auto"/>
      </w:divBdr>
    </w:div>
    <w:div w:id="963537259">
      <w:bodyDiv w:val="1"/>
      <w:marLeft w:val="0"/>
      <w:marRight w:val="0"/>
      <w:marTop w:val="0"/>
      <w:marBottom w:val="0"/>
      <w:divBdr>
        <w:top w:val="none" w:sz="0" w:space="0" w:color="auto"/>
        <w:left w:val="none" w:sz="0" w:space="0" w:color="auto"/>
        <w:bottom w:val="none" w:sz="0" w:space="0" w:color="auto"/>
        <w:right w:val="none" w:sz="0" w:space="0" w:color="auto"/>
      </w:divBdr>
    </w:div>
    <w:div w:id="968049361">
      <w:bodyDiv w:val="1"/>
      <w:marLeft w:val="0"/>
      <w:marRight w:val="0"/>
      <w:marTop w:val="0"/>
      <w:marBottom w:val="0"/>
      <w:divBdr>
        <w:top w:val="none" w:sz="0" w:space="0" w:color="auto"/>
        <w:left w:val="none" w:sz="0" w:space="0" w:color="auto"/>
        <w:bottom w:val="none" w:sz="0" w:space="0" w:color="auto"/>
        <w:right w:val="none" w:sz="0" w:space="0" w:color="auto"/>
      </w:divBdr>
    </w:div>
    <w:div w:id="11240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DFA5-C341-4CB6-8692-9B2ED6F83498}">
  <ds:schemaRefs>
    <ds:schemaRef ds:uri="http://schemas.openxmlformats.org/officeDocument/2006/bibliography"/>
  </ds:schemaRefs>
</ds:datastoreItem>
</file>

<file path=customXml/itemProps2.xml><?xml version="1.0" encoding="utf-8"?>
<ds:datastoreItem xmlns:ds="http://schemas.openxmlformats.org/officeDocument/2006/customXml" ds:itemID="{F4EF186C-574A-4EB8-B09D-DF0182F7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4932</Words>
  <Characters>28117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32984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Richard</dc:creator>
  <cp:lastModifiedBy>User</cp:lastModifiedBy>
  <cp:revision>2</cp:revision>
  <cp:lastPrinted>2013-08-21T10:19:00Z</cp:lastPrinted>
  <dcterms:created xsi:type="dcterms:W3CDTF">2013-08-22T13:19:00Z</dcterms:created>
  <dcterms:modified xsi:type="dcterms:W3CDTF">2013-08-22T13:19:00Z</dcterms:modified>
</cp:coreProperties>
</file>